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CEB30" w14:textId="59B95423" w:rsidR="00ED432B" w:rsidRPr="00ED432B" w:rsidRDefault="00ED432B" w:rsidP="00ED432B">
      <w:pPr>
        <w:tabs>
          <w:tab w:val="center" w:pos="4536"/>
          <w:tab w:val="right" w:pos="8280"/>
          <w:tab w:val="right" w:pos="9639"/>
        </w:tabs>
        <w:ind w:right="2"/>
        <w:rPr>
          <w:rFonts w:ascii="Times New Roman" w:hAnsi="Times New Roman" w:cs="Times New Roman"/>
          <w:b/>
          <w:bCs/>
          <w:sz w:val="24"/>
        </w:rPr>
      </w:pPr>
      <w:r w:rsidRPr="00ED432B">
        <w:rPr>
          <w:rFonts w:ascii="Times New Roman" w:hAnsi="Times New Roman" w:cs="Times New Roman"/>
          <w:b/>
          <w:bCs/>
          <w:sz w:val="24"/>
        </w:rPr>
        <w:t>3GPP TSG RAN WG1 Meeting AH 1801</w:t>
      </w:r>
      <w:r w:rsidRPr="00ED432B">
        <w:rPr>
          <w:rFonts w:ascii="Times New Roman" w:hAnsi="Times New Roman" w:cs="Times New Roman"/>
          <w:b/>
          <w:bCs/>
          <w:sz w:val="24"/>
        </w:rPr>
        <w:tab/>
      </w:r>
      <w:r w:rsidRPr="00ED432B">
        <w:rPr>
          <w:rFonts w:ascii="Times New Roman" w:hAnsi="Times New Roman" w:cs="Times New Roman"/>
          <w:b/>
          <w:bCs/>
          <w:sz w:val="24"/>
        </w:rPr>
        <w:tab/>
      </w:r>
      <w:r w:rsidR="00935DFD">
        <w:rPr>
          <w:rFonts w:ascii="Times New Roman" w:hAnsi="Times New Roman" w:cs="Times New Roman"/>
          <w:b/>
          <w:bCs/>
          <w:sz w:val="24"/>
        </w:rPr>
        <w:tab/>
      </w:r>
      <w:r w:rsidRPr="00ED432B">
        <w:rPr>
          <w:rFonts w:ascii="Times New Roman" w:hAnsi="Times New Roman" w:cs="Times New Roman"/>
          <w:b/>
          <w:bCs/>
          <w:sz w:val="24"/>
        </w:rPr>
        <w:t>R1-18</w:t>
      </w:r>
      <w:r w:rsidR="00935DFD">
        <w:rPr>
          <w:rFonts w:ascii="Times New Roman" w:eastAsia="MS Mincho" w:hAnsi="Times New Roman" w:cs="Times New Roman"/>
          <w:b/>
          <w:bCs/>
          <w:sz w:val="24"/>
          <w:lang w:eastAsia="ja-JP"/>
        </w:rPr>
        <w:t>00626</w:t>
      </w:r>
    </w:p>
    <w:p w14:paraId="29375273" w14:textId="77777777" w:rsidR="00ED432B" w:rsidRPr="00ED432B" w:rsidRDefault="00ED432B" w:rsidP="00ED432B">
      <w:pPr>
        <w:spacing w:after="0"/>
        <w:ind w:left="1440" w:hanging="1440"/>
        <w:rPr>
          <w:rFonts w:ascii="Times New Roman" w:eastAsia="Batang" w:hAnsi="Times New Roman" w:cs="Times New Roman"/>
          <w:b/>
          <w:sz w:val="18"/>
          <w:szCs w:val="20"/>
          <w:lang w:val="en-GB"/>
        </w:rPr>
      </w:pPr>
      <w:r w:rsidRPr="00ED432B">
        <w:rPr>
          <w:rFonts w:ascii="Times New Roman" w:eastAsia="MS Mincho" w:hAnsi="Times New Roman" w:cs="Times New Roman"/>
          <w:b/>
          <w:bCs/>
          <w:sz w:val="24"/>
          <w:lang w:eastAsia="ja-JP"/>
        </w:rPr>
        <w:t>Vancouver, Canada, January 22</w:t>
      </w:r>
      <w:r w:rsidRPr="00ED432B">
        <w:rPr>
          <w:rFonts w:ascii="Times New Roman" w:eastAsia="MS Mincho" w:hAnsi="Times New Roman" w:cs="Times New Roman"/>
          <w:b/>
          <w:bCs/>
          <w:sz w:val="24"/>
          <w:vertAlign w:val="superscript"/>
          <w:lang w:eastAsia="ja-JP"/>
        </w:rPr>
        <w:t>nd</w:t>
      </w:r>
      <w:r w:rsidRPr="00ED432B">
        <w:rPr>
          <w:rFonts w:ascii="Times New Roman" w:eastAsia="MS Mincho" w:hAnsi="Times New Roman" w:cs="Times New Roman"/>
          <w:b/>
          <w:bCs/>
          <w:sz w:val="24"/>
          <w:lang w:eastAsia="ja-JP"/>
        </w:rPr>
        <w:t xml:space="preserve"> – 26</w:t>
      </w:r>
      <w:r w:rsidRPr="00ED432B">
        <w:rPr>
          <w:rFonts w:ascii="Times New Roman" w:eastAsia="MS Mincho" w:hAnsi="Times New Roman" w:cs="Times New Roman"/>
          <w:b/>
          <w:bCs/>
          <w:sz w:val="24"/>
          <w:vertAlign w:val="superscript"/>
          <w:lang w:eastAsia="ja-JP"/>
        </w:rPr>
        <w:t>th</w:t>
      </w:r>
      <w:r w:rsidRPr="00ED432B">
        <w:rPr>
          <w:rFonts w:ascii="Times New Roman" w:eastAsia="MS Mincho" w:hAnsi="Times New Roman" w:cs="Times New Roman"/>
          <w:b/>
          <w:bCs/>
          <w:sz w:val="24"/>
          <w:lang w:eastAsia="ja-JP"/>
        </w:rPr>
        <w:t>, 2018</w:t>
      </w:r>
    </w:p>
    <w:p w14:paraId="4A62E097" w14:textId="77777777" w:rsidR="00ED432B" w:rsidRPr="00ED432B" w:rsidRDefault="00ED432B" w:rsidP="00ED432B">
      <w:pPr>
        <w:tabs>
          <w:tab w:val="left" w:pos="1985"/>
        </w:tabs>
        <w:rPr>
          <w:rFonts w:ascii="Times New Roman" w:hAnsi="Times New Roman" w:cs="Times New Roman"/>
          <w:b/>
          <w:sz w:val="24"/>
        </w:rPr>
      </w:pPr>
    </w:p>
    <w:p w14:paraId="4E4EE063" w14:textId="1F88239F" w:rsidR="00ED432B" w:rsidRPr="00ED432B" w:rsidRDefault="00ED432B" w:rsidP="00ED432B">
      <w:pPr>
        <w:tabs>
          <w:tab w:val="left" w:pos="1985"/>
        </w:tabs>
        <w:rPr>
          <w:rFonts w:ascii="Times New Roman" w:hAnsi="Times New Roman" w:cs="Times New Roman"/>
          <w:b/>
          <w:sz w:val="24"/>
          <w:szCs w:val="24"/>
        </w:rPr>
      </w:pPr>
      <w:r w:rsidRPr="00ED432B">
        <w:rPr>
          <w:rFonts w:ascii="Times New Roman" w:hAnsi="Times New Roman" w:cs="Times New Roman"/>
          <w:b/>
          <w:sz w:val="24"/>
          <w:szCs w:val="24"/>
        </w:rPr>
        <w:t>Agenda item:</w:t>
      </w:r>
      <w:bookmarkStart w:id="0" w:name="Source"/>
      <w:bookmarkEnd w:id="0"/>
      <w:r w:rsidRPr="00ED432B">
        <w:rPr>
          <w:rFonts w:ascii="Times New Roman" w:hAnsi="Times New Roman" w:cs="Times New Roman"/>
          <w:b/>
          <w:sz w:val="24"/>
          <w:szCs w:val="24"/>
        </w:rPr>
        <w:tab/>
        <w:t>7.</w:t>
      </w:r>
      <w:r>
        <w:rPr>
          <w:rFonts w:ascii="Times New Roman" w:hAnsi="Times New Roman" w:cs="Times New Roman"/>
          <w:b/>
          <w:sz w:val="24"/>
          <w:szCs w:val="24"/>
        </w:rPr>
        <w:t>2.1</w:t>
      </w:r>
      <w:r w:rsidRPr="00ED432B">
        <w:rPr>
          <w:rFonts w:ascii="Times New Roman" w:hAnsi="Times New Roman" w:cs="Times New Roman"/>
          <w:b/>
          <w:sz w:val="24"/>
          <w:szCs w:val="24"/>
        </w:rPr>
        <w:t>.2</w:t>
      </w:r>
    </w:p>
    <w:p w14:paraId="43032682" w14:textId="561084D9" w:rsidR="00ED432B" w:rsidRPr="00ED432B" w:rsidRDefault="00ED432B" w:rsidP="00ED432B">
      <w:pPr>
        <w:tabs>
          <w:tab w:val="left" w:pos="1985"/>
        </w:tabs>
        <w:rPr>
          <w:rFonts w:ascii="Times New Roman" w:hAnsi="Times New Roman" w:cs="Times New Roman"/>
          <w:b/>
          <w:sz w:val="24"/>
          <w:szCs w:val="24"/>
        </w:rPr>
      </w:pPr>
      <w:r w:rsidRPr="00ED432B">
        <w:rPr>
          <w:rFonts w:ascii="Times New Roman" w:hAnsi="Times New Roman" w:cs="Times New Roman"/>
          <w:b/>
          <w:sz w:val="24"/>
          <w:szCs w:val="24"/>
        </w:rPr>
        <w:t>Source:          InterDigital Inc.</w:t>
      </w:r>
    </w:p>
    <w:p w14:paraId="6AE91C52" w14:textId="71067432" w:rsidR="00ED432B" w:rsidRPr="00ED432B" w:rsidRDefault="00ED432B" w:rsidP="00ED432B">
      <w:pPr>
        <w:ind w:left="1988" w:hanging="1988"/>
        <w:rPr>
          <w:rFonts w:ascii="Times New Roman" w:hAnsi="Times New Roman" w:cs="Times New Roman"/>
          <w:b/>
          <w:sz w:val="24"/>
          <w:szCs w:val="24"/>
        </w:rPr>
      </w:pPr>
      <w:r w:rsidRPr="00ED432B">
        <w:rPr>
          <w:rFonts w:ascii="Times New Roman" w:hAnsi="Times New Roman" w:cs="Times New Roman"/>
          <w:b/>
          <w:sz w:val="24"/>
          <w:szCs w:val="24"/>
        </w:rPr>
        <w:t xml:space="preserve">Title:            </w:t>
      </w:r>
      <w:r w:rsidR="00935DFD">
        <w:rPr>
          <w:rFonts w:ascii="Times New Roman" w:hAnsi="Times New Roman" w:cs="Times New Roman"/>
          <w:b/>
          <w:sz w:val="24"/>
          <w:szCs w:val="24"/>
        </w:rPr>
        <w:t xml:space="preserve">On </w:t>
      </w:r>
      <w:r w:rsidR="009366D9">
        <w:rPr>
          <w:rFonts w:ascii="Times New Roman" w:hAnsi="Times New Roman" w:cs="Times New Roman"/>
          <w:b/>
          <w:sz w:val="24"/>
          <w:szCs w:val="24"/>
        </w:rPr>
        <w:t xml:space="preserve">TRI and </w:t>
      </w:r>
      <w:r w:rsidR="0019718A" w:rsidRPr="0019718A">
        <w:rPr>
          <w:rFonts w:ascii="Times New Roman" w:hAnsi="Times New Roman" w:cs="Times New Roman"/>
          <w:b/>
          <w:sz w:val="24"/>
          <w:szCs w:val="24"/>
        </w:rPr>
        <w:t>TPMI indication for CB-based UL transmission</w:t>
      </w:r>
    </w:p>
    <w:p w14:paraId="4B395B84" w14:textId="0BF0607E" w:rsidR="00DC2E21" w:rsidRPr="00ED432B" w:rsidRDefault="00ED432B" w:rsidP="00ED432B">
      <w:pPr>
        <w:ind w:left="1988" w:hanging="1988"/>
        <w:rPr>
          <w:rFonts w:ascii="Times New Roman" w:hAnsi="Times New Roman" w:cs="Times New Roman"/>
          <w:b/>
          <w:sz w:val="24"/>
        </w:rPr>
      </w:pPr>
      <w:r w:rsidRPr="00ED432B">
        <w:rPr>
          <w:rFonts w:ascii="Times New Roman" w:hAnsi="Times New Roman" w:cs="Times New Roman"/>
          <w:b/>
          <w:sz w:val="24"/>
          <w:szCs w:val="24"/>
        </w:rPr>
        <w:t>Document for:</w:t>
      </w:r>
      <w:bookmarkStart w:id="1" w:name="DocumentFor"/>
      <w:bookmarkEnd w:id="1"/>
      <w:r w:rsidRPr="00ED432B">
        <w:rPr>
          <w:rFonts w:ascii="Times New Roman" w:hAnsi="Times New Roman" w:cs="Times New Roman"/>
          <w:b/>
          <w:sz w:val="24"/>
          <w:szCs w:val="24"/>
        </w:rPr>
        <w:t xml:space="preserve">   </w:t>
      </w:r>
      <w:r w:rsidRPr="00ED432B">
        <w:rPr>
          <w:rFonts w:ascii="Times New Roman" w:hAnsi="Times New Roman" w:cs="Times New Roman"/>
          <w:b/>
          <w:sz w:val="24"/>
          <w:szCs w:val="24"/>
        </w:rPr>
        <w:tab/>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2DE8F2AC" w14:textId="281BEA29" w:rsidR="00C771D9" w:rsidRDefault="00C771D9" w:rsidP="00C771D9">
      <w:pPr>
        <w:jc w:val="both"/>
        <w:rPr>
          <w:rFonts w:ascii="Times" w:hAnsi="Times" w:cs="Times"/>
        </w:rPr>
      </w:pPr>
      <w:r w:rsidRPr="00E56069">
        <w:rPr>
          <w:rFonts w:ascii="Times" w:hAnsi="Times" w:cs="Times"/>
        </w:rPr>
        <w:t xml:space="preserve">In RAN1 </w:t>
      </w:r>
      <w:r w:rsidR="008F24E5">
        <w:rPr>
          <w:rFonts w:ascii="Times" w:hAnsi="Times" w:cs="Times"/>
        </w:rPr>
        <w:t>#9</w:t>
      </w:r>
      <w:r w:rsidR="0004245F">
        <w:rPr>
          <w:rFonts w:ascii="Times" w:hAnsi="Times" w:cs="Times"/>
        </w:rPr>
        <w:t>1</w:t>
      </w:r>
      <w:r w:rsidRPr="00E56069">
        <w:rPr>
          <w:rFonts w:ascii="Times" w:hAnsi="Times" w:cs="Times"/>
        </w:rPr>
        <w:t xml:space="preserve"> Meeting</w:t>
      </w:r>
      <w:r>
        <w:rPr>
          <w:rFonts w:ascii="Times" w:hAnsi="Times" w:cs="Times"/>
        </w:rPr>
        <w:t xml:space="preserve"> </w:t>
      </w:r>
      <w:r>
        <w:rPr>
          <w:rFonts w:ascii="Times" w:hAnsi="Times" w:cs="Times"/>
        </w:rPr>
        <w:fldChar w:fldCharType="begin"/>
      </w:r>
      <w:r>
        <w:rPr>
          <w:rFonts w:ascii="Times" w:hAnsi="Times" w:cs="Times"/>
        </w:rPr>
        <w:instrText xml:space="preserve"> REF _Ref478127360 \r \h </w:instrText>
      </w:r>
      <w:r>
        <w:rPr>
          <w:rFonts w:ascii="Times" w:hAnsi="Times" w:cs="Times"/>
        </w:rPr>
      </w:r>
      <w:r>
        <w:rPr>
          <w:rFonts w:ascii="Times" w:hAnsi="Times" w:cs="Times"/>
        </w:rPr>
        <w:fldChar w:fldCharType="separate"/>
      </w:r>
      <w:r w:rsidR="00D45AA3">
        <w:rPr>
          <w:rFonts w:ascii="Times" w:hAnsi="Times" w:cs="Times"/>
        </w:rPr>
        <w:t>[1]</w:t>
      </w:r>
      <w:r>
        <w:rPr>
          <w:rFonts w:ascii="Times" w:hAnsi="Times" w:cs="Times"/>
        </w:rPr>
        <w:fldChar w:fldCharType="end"/>
      </w:r>
      <w:r w:rsidRPr="00E56069">
        <w:rPr>
          <w:rFonts w:ascii="Times" w:hAnsi="Times" w:cs="Times"/>
        </w:rPr>
        <w:t xml:space="preserve">, </w:t>
      </w:r>
      <w:r w:rsidR="008F24E5">
        <w:rPr>
          <w:rFonts w:ascii="Times" w:hAnsi="Times" w:cs="Times"/>
        </w:rPr>
        <w:t xml:space="preserve">several agreements </w:t>
      </w:r>
      <w:r w:rsidR="009B74D2">
        <w:rPr>
          <w:rFonts w:ascii="Times" w:hAnsi="Times" w:cs="Times"/>
        </w:rPr>
        <w:t xml:space="preserve">as well as a working assumption </w:t>
      </w:r>
      <w:r w:rsidR="008F24E5">
        <w:rPr>
          <w:rFonts w:ascii="Times" w:hAnsi="Times" w:cs="Times"/>
        </w:rPr>
        <w:t xml:space="preserve">on details and the operation </w:t>
      </w:r>
      <w:r w:rsidR="00B62074">
        <w:rPr>
          <w:rFonts w:ascii="Times" w:hAnsi="Times" w:cs="Times"/>
        </w:rPr>
        <w:t xml:space="preserve">codebook-based UL transmission </w:t>
      </w:r>
      <w:r w:rsidR="008F24E5">
        <w:rPr>
          <w:rFonts w:ascii="Times" w:hAnsi="Times" w:cs="Times"/>
        </w:rPr>
        <w:t xml:space="preserve">were </w:t>
      </w:r>
      <w:r w:rsidR="0004245F">
        <w:rPr>
          <w:rFonts w:ascii="Times" w:hAnsi="Times" w:cs="Times"/>
        </w:rPr>
        <w:t>reach</w:t>
      </w:r>
      <w:r w:rsidR="009B74D2">
        <w:rPr>
          <w:rFonts w:ascii="Times" w:hAnsi="Times" w:cs="Times"/>
        </w:rPr>
        <w:t>ed</w:t>
      </w:r>
      <w:r w:rsidR="0004245F">
        <w:rPr>
          <w:rFonts w:ascii="Times" w:hAnsi="Times" w:cs="Times"/>
        </w:rPr>
        <w:t>;</w:t>
      </w:r>
      <w:r>
        <w:rPr>
          <w:rFonts w:ascii="Times" w:hAnsi="Times" w:cs="Times"/>
        </w:rPr>
        <w:t xml:space="preserve"> </w:t>
      </w:r>
    </w:p>
    <w:tbl>
      <w:tblPr>
        <w:tblStyle w:val="TableGrid"/>
        <w:tblW w:w="0" w:type="auto"/>
        <w:tblLook w:val="04A0" w:firstRow="1" w:lastRow="0" w:firstColumn="1" w:lastColumn="0" w:noHBand="0" w:noVBand="1"/>
      </w:tblPr>
      <w:tblGrid>
        <w:gridCol w:w="9629"/>
      </w:tblGrid>
      <w:tr w:rsidR="006011C8" w:rsidRPr="00CC7B84" w14:paraId="2078AFA5" w14:textId="77777777" w:rsidTr="006011C8">
        <w:tc>
          <w:tcPr>
            <w:tcW w:w="9629" w:type="dxa"/>
          </w:tcPr>
          <w:p w14:paraId="5A5A4E04" w14:textId="77777777" w:rsidR="00CC7B84" w:rsidRPr="00CC7B84" w:rsidRDefault="00CC7B84" w:rsidP="008B7831">
            <w:pPr>
              <w:pStyle w:val="text"/>
              <w:spacing w:after="0"/>
              <w:rPr>
                <w:rFonts w:ascii="Times New Roman" w:hAnsi="Times New Roman"/>
                <w:b/>
                <w:i/>
                <w:sz w:val="18"/>
                <w:highlight w:val="green"/>
                <w:lang w:eastAsia="ja-JP"/>
              </w:rPr>
            </w:pPr>
            <w:r w:rsidRPr="00CC7B84">
              <w:rPr>
                <w:rFonts w:ascii="Times New Roman" w:hAnsi="Times New Roman"/>
                <w:b/>
                <w:i/>
                <w:sz w:val="18"/>
                <w:highlight w:val="green"/>
                <w:lang w:eastAsia="ja-JP"/>
              </w:rPr>
              <w:t>Agreement</w:t>
            </w:r>
          </w:p>
          <w:p w14:paraId="556FE05E" w14:textId="3AB78A6B" w:rsidR="00CC7B84" w:rsidRPr="00CC7B84" w:rsidRDefault="00CC7B84" w:rsidP="008B7831">
            <w:pPr>
              <w:pStyle w:val="text"/>
              <w:numPr>
                <w:ilvl w:val="0"/>
                <w:numId w:val="21"/>
              </w:numPr>
              <w:spacing w:after="0"/>
              <w:rPr>
                <w:rFonts w:ascii="Times New Roman" w:hAnsi="Times New Roman"/>
                <w:i/>
                <w:sz w:val="18"/>
              </w:rPr>
            </w:pPr>
            <w:r w:rsidRPr="00CC7B84">
              <w:rPr>
                <w:rFonts w:ascii="Times New Roman" w:hAnsi="Times New Roman"/>
                <w:i/>
                <w:sz w:val="18"/>
              </w:rPr>
              <w:t>For uplink codebook subset restriction based on RRC signaling, support 3 states to define the TPMI for coherent transmission, partial coherent transmission and non-coherent transmission</w:t>
            </w:r>
          </w:p>
          <w:p w14:paraId="3FFF6C16"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Definition of three states: One state to indicate coherent, partial coherent, and non-coherent transmission, one state to indicate partial coherent, and non-coherent, one state to indicate non-coherent transmission</w:t>
            </w:r>
          </w:p>
          <w:p w14:paraId="44E25E16" w14:textId="77777777" w:rsidR="00CC7B84" w:rsidRPr="00CC7B84" w:rsidRDefault="00CC7B84" w:rsidP="00305A12">
            <w:pPr>
              <w:pStyle w:val="bullet2"/>
              <w:numPr>
                <w:ilvl w:val="1"/>
                <w:numId w:val="15"/>
              </w:numPr>
              <w:rPr>
                <w:rFonts w:ascii="Times New Roman" w:hAnsi="Times New Roman"/>
                <w:i/>
                <w:sz w:val="18"/>
                <w:szCs w:val="20"/>
                <w:lang w:val="en-US"/>
              </w:rPr>
            </w:pPr>
            <w:r w:rsidRPr="00CC7B84">
              <w:rPr>
                <w:rFonts w:ascii="Times New Roman" w:hAnsi="Times New Roman"/>
                <w:i/>
                <w:sz w:val="18"/>
                <w:szCs w:val="20"/>
                <w:lang w:val="en-US"/>
              </w:rPr>
              <w:t>Only one state can be configured among the three states</w:t>
            </w:r>
          </w:p>
          <w:p w14:paraId="3B40408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For a UE reporting its capability of partial coherent transmission, it shall not expect the gNB to configure the coherent transmission state.</w:t>
            </w:r>
          </w:p>
          <w:p w14:paraId="2AF7EF9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For a UE reporting its capability of non-coherent transmission, it shall not expect the gNB to configure the coherent or partial coherent transmission state.</w:t>
            </w:r>
          </w:p>
          <w:p w14:paraId="04AEE2A0"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The size of the DCI field for TPMI is determined by the selected state</w:t>
            </w:r>
          </w:p>
          <w:p w14:paraId="4438D02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TRI restriction (max transmit rank) is part of TPMI size reduction</w:t>
            </w:r>
          </w:p>
          <w:p w14:paraId="5295E1E0" w14:textId="77777777" w:rsidR="00CC7B84" w:rsidRPr="00CC7B84" w:rsidRDefault="00CC7B84" w:rsidP="00E81F0F">
            <w:pPr>
              <w:pStyle w:val="bullet2"/>
              <w:numPr>
                <w:ilvl w:val="1"/>
                <w:numId w:val="15"/>
              </w:numPr>
              <w:spacing w:line="360" w:lineRule="auto"/>
              <w:rPr>
                <w:rFonts w:ascii="Times New Roman" w:hAnsi="Times New Roman"/>
                <w:i/>
                <w:sz w:val="18"/>
                <w:szCs w:val="20"/>
                <w:lang w:val="en-US"/>
              </w:rPr>
            </w:pPr>
            <w:r w:rsidRPr="00CC7B84">
              <w:rPr>
                <w:rFonts w:ascii="Times New Roman" w:hAnsi="Times New Roman"/>
                <w:i/>
                <w:sz w:val="18"/>
                <w:szCs w:val="20"/>
                <w:lang w:val="en-US"/>
              </w:rPr>
              <w:t>FFS: Whether TRI and TPMI are jointly or separately encoded</w:t>
            </w:r>
          </w:p>
          <w:p w14:paraId="4EDE217D" w14:textId="0FD68EF2" w:rsidR="00CC7B84" w:rsidRPr="00CC7B84" w:rsidRDefault="00CC7B84" w:rsidP="00E81F0F">
            <w:pPr>
              <w:pStyle w:val="text"/>
              <w:numPr>
                <w:ilvl w:val="0"/>
                <w:numId w:val="21"/>
              </w:numPr>
              <w:spacing w:after="0"/>
              <w:rPr>
                <w:rFonts w:ascii="Times New Roman" w:hAnsi="Times New Roman"/>
                <w:i/>
                <w:sz w:val="18"/>
              </w:rPr>
            </w:pPr>
            <w:r w:rsidRPr="00CC7B84">
              <w:rPr>
                <w:rFonts w:ascii="Times New Roman" w:hAnsi="Times New Roman"/>
                <w:i/>
                <w:sz w:val="18"/>
              </w:rPr>
              <w:t xml:space="preserve">Support to use RRC signaling to explicitly select between codebook based transmission and non-codebook based transmission </w:t>
            </w:r>
          </w:p>
          <w:p w14:paraId="3AB7A1E9"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 xml:space="preserve">FFS on definition of UE capability for non-codebook based transmission </w:t>
            </w:r>
          </w:p>
          <w:p w14:paraId="31CB37E5" w14:textId="77777777" w:rsidR="00CC7B84" w:rsidRPr="00CC7B84" w:rsidRDefault="00CC7B84" w:rsidP="00CC7B84">
            <w:pPr>
              <w:rPr>
                <w:rFonts w:ascii="Times New Roman" w:eastAsia="SimSun" w:hAnsi="Times New Roman" w:cs="Times New Roman"/>
                <w:i/>
                <w:sz w:val="18"/>
                <w:szCs w:val="20"/>
                <w:lang w:eastAsia="zh-CN"/>
              </w:rPr>
            </w:pPr>
          </w:p>
          <w:p w14:paraId="4BB1F9B3" w14:textId="377FE6A5" w:rsidR="00CC7B84" w:rsidRPr="00CC7B84" w:rsidRDefault="00CC7B84" w:rsidP="00305A12">
            <w:pPr>
              <w:pStyle w:val="text"/>
              <w:numPr>
                <w:ilvl w:val="0"/>
                <w:numId w:val="21"/>
              </w:numPr>
              <w:spacing w:after="0"/>
              <w:rPr>
                <w:rFonts w:ascii="Times New Roman" w:hAnsi="Times New Roman"/>
                <w:i/>
                <w:sz w:val="18"/>
              </w:rPr>
            </w:pPr>
            <w:r w:rsidRPr="00CC7B84">
              <w:rPr>
                <w:rFonts w:ascii="Times New Roman" w:hAnsi="Times New Roman"/>
                <w:i/>
                <w:sz w:val="18"/>
              </w:rPr>
              <w:t>For codebook-based UL, UE can only be configured with one SRS resource set.</w:t>
            </w:r>
          </w:p>
          <w:p w14:paraId="05C530C8"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Only one SRS resource is selected within the set via the SRI field in UL grant.</w:t>
            </w:r>
          </w:p>
          <w:p w14:paraId="78ED1995"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The SRI field in UL grant is independently encoded from at least TPMI in the same UL grant.</w:t>
            </w:r>
          </w:p>
          <w:p w14:paraId="3AFB5A6C" w14:textId="77777777" w:rsidR="00CC7B84" w:rsidRPr="00CC7B84" w:rsidRDefault="00CC7B84" w:rsidP="00305A12">
            <w:pPr>
              <w:pStyle w:val="bullet2"/>
              <w:numPr>
                <w:ilvl w:val="1"/>
                <w:numId w:val="15"/>
              </w:numPr>
              <w:rPr>
                <w:rFonts w:ascii="Times New Roman" w:hAnsi="Times New Roman"/>
                <w:i/>
                <w:sz w:val="18"/>
                <w:szCs w:val="20"/>
                <w:lang w:val="en-US"/>
              </w:rPr>
            </w:pPr>
            <w:r w:rsidRPr="00CC7B84">
              <w:rPr>
                <w:rFonts w:ascii="Times New Roman" w:hAnsi="Times New Roman"/>
                <w:i/>
                <w:sz w:val="18"/>
                <w:szCs w:val="20"/>
                <w:lang w:val="en-US"/>
              </w:rPr>
              <w:t>The bitwidth of SRI field in UL grant is determined by N = ceil(log2(# of SRS resources in the set)).</w:t>
            </w:r>
          </w:p>
          <w:p w14:paraId="57C8AD49" w14:textId="77777777" w:rsidR="00CC7B84" w:rsidRPr="00CC7B84" w:rsidRDefault="00CC7B84" w:rsidP="00305A12">
            <w:pPr>
              <w:pStyle w:val="bullet1"/>
              <w:numPr>
                <w:ilvl w:val="0"/>
                <w:numId w:val="15"/>
              </w:numPr>
              <w:rPr>
                <w:rFonts w:ascii="Times New Roman" w:hAnsi="Times New Roman"/>
                <w:i/>
                <w:sz w:val="18"/>
                <w:szCs w:val="20"/>
                <w:lang w:val="en-US"/>
              </w:rPr>
            </w:pPr>
            <w:r w:rsidRPr="00CC7B84">
              <w:rPr>
                <w:rFonts w:ascii="Times New Roman" w:hAnsi="Times New Roman"/>
                <w:i/>
                <w:sz w:val="18"/>
                <w:szCs w:val="20"/>
                <w:lang w:val="en-US"/>
              </w:rPr>
              <w:t>Note: This SRS resource set can be reused for UL BM as well, or another separated SRS resource set for UL BM can be configured to the UE, according to gNB implementation.</w:t>
            </w:r>
          </w:p>
          <w:p w14:paraId="48ACB15F" w14:textId="77777777" w:rsidR="00CC7B84" w:rsidRPr="00CC7B84" w:rsidRDefault="00CC7B84" w:rsidP="00CC7B84">
            <w:pPr>
              <w:rPr>
                <w:rFonts w:ascii="Times New Roman" w:hAnsi="Times New Roman" w:cs="Times New Roman"/>
                <w:i/>
                <w:sz w:val="18"/>
                <w:szCs w:val="20"/>
                <w:lang w:eastAsia="x-none"/>
              </w:rPr>
            </w:pPr>
          </w:p>
          <w:p w14:paraId="15F9EEE7" w14:textId="304ED661" w:rsidR="00305A12" w:rsidRDefault="00305A12" w:rsidP="00305A12">
            <w:pPr>
              <w:pStyle w:val="text"/>
              <w:numPr>
                <w:ilvl w:val="0"/>
                <w:numId w:val="21"/>
              </w:numPr>
              <w:spacing w:after="0"/>
              <w:rPr>
                <w:rFonts w:ascii="Times New Roman" w:hAnsi="Times New Roman"/>
                <w:i/>
                <w:sz w:val="18"/>
              </w:rPr>
            </w:pPr>
            <w:r w:rsidRPr="00305A12">
              <w:rPr>
                <w:rFonts w:ascii="Times New Roman" w:hAnsi="Times New Roman"/>
                <w:i/>
                <w:sz w:val="18"/>
              </w:rPr>
              <w:t>For codebook based UL transmission,</w:t>
            </w:r>
          </w:p>
          <w:p w14:paraId="29EBC60E" w14:textId="7DB7F9E0" w:rsidR="00305A12" w:rsidRPr="00305A12" w:rsidRDefault="00305A12" w:rsidP="00305A12">
            <w:pPr>
              <w:pStyle w:val="bullet1"/>
              <w:numPr>
                <w:ilvl w:val="0"/>
                <w:numId w:val="15"/>
              </w:numPr>
              <w:rPr>
                <w:rFonts w:ascii="Times New Roman" w:hAnsi="Times New Roman"/>
                <w:i/>
                <w:sz w:val="18"/>
                <w:szCs w:val="20"/>
              </w:rPr>
            </w:pPr>
            <w:r w:rsidRPr="00305A12">
              <w:rPr>
                <w:rFonts w:ascii="Times New Roman" w:hAnsi="Times New Roman"/>
                <w:i/>
                <w:sz w:val="18"/>
                <w:szCs w:val="20"/>
              </w:rPr>
              <w:t>The rank of UL transmission is derived from TRI in UL DCI</w:t>
            </w:r>
          </w:p>
          <w:p w14:paraId="262D8B46" w14:textId="77777777" w:rsidR="00305A12" w:rsidRDefault="00305A12" w:rsidP="00305A12">
            <w:pPr>
              <w:pStyle w:val="bullet1"/>
              <w:numPr>
                <w:ilvl w:val="1"/>
                <w:numId w:val="15"/>
              </w:numPr>
              <w:rPr>
                <w:rFonts w:ascii="Times New Roman" w:hAnsi="Times New Roman"/>
                <w:i/>
                <w:sz w:val="18"/>
                <w:szCs w:val="20"/>
              </w:rPr>
            </w:pPr>
            <w:r w:rsidRPr="00305A12">
              <w:rPr>
                <w:rFonts w:ascii="Times New Roman" w:hAnsi="Times New Roman"/>
                <w:i/>
                <w:sz w:val="18"/>
                <w:szCs w:val="20"/>
              </w:rPr>
              <w:t>Encoding of the DMRS indicator is determined from the derived rank</w:t>
            </w:r>
          </w:p>
          <w:p w14:paraId="5A8F3005" w14:textId="6FA84A0B" w:rsidR="00305A12" w:rsidRPr="00305A12" w:rsidRDefault="00305A12" w:rsidP="00305A12">
            <w:pPr>
              <w:pStyle w:val="bullet1"/>
              <w:numPr>
                <w:ilvl w:val="1"/>
                <w:numId w:val="15"/>
              </w:numPr>
              <w:rPr>
                <w:rFonts w:ascii="Times New Roman" w:hAnsi="Times New Roman"/>
                <w:i/>
                <w:sz w:val="18"/>
                <w:szCs w:val="20"/>
              </w:rPr>
            </w:pPr>
            <w:r w:rsidRPr="00305A12">
              <w:rPr>
                <w:rFonts w:ascii="Times New Roman" w:hAnsi="Times New Roman"/>
                <w:i/>
                <w:sz w:val="18"/>
                <w:szCs w:val="20"/>
              </w:rPr>
              <w:t>Support joint coding of TPMI and TRI</w:t>
            </w:r>
          </w:p>
          <w:p w14:paraId="42322827" w14:textId="74DCF412" w:rsidR="00305A12" w:rsidRPr="00305A12" w:rsidRDefault="00305A12" w:rsidP="00305A12">
            <w:pPr>
              <w:pStyle w:val="bullet1"/>
              <w:numPr>
                <w:ilvl w:val="2"/>
                <w:numId w:val="15"/>
              </w:numPr>
              <w:rPr>
                <w:rFonts w:ascii="Times New Roman" w:hAnsi="Times New Roman"/>
                <w:i/>
                <w:sz w:val="18"/>
                <w:szCs w:val="20"/>
              </w:rPr>
            </w:pPr>
            <w:r w:rsidRPr="00305A12">
              <w:rPr>
                <w:rFonts w:ascii="Times New Roman" w:hAnsi="Times New Roman"/>
                <w:i/>
                <w:sz w:val="18"/>
                <w:szCs w:val="20"/>
              </w:rPr>
              <w:t>The TPMI size and TRI size is based on the 3-state TPMI restriction and maximum TRI restriction</w:t>
            </w:r>
          </w:p>
          <w:p w14:paraId="08918270" w14:textId="77777777" w:rsidR="009B74D2" w:rsidRDefault="00305A12" w:rsidP="00305A12">
            <w:pPr>
              <w:pStyle w:val="bullet1"/>
              <w:numPr>
                <w:ilvl w:val="0"/>
                <w:numId w:val="15"/>
              </w:numPr>
              <w:rPr>
                <w:rFonts w:ascii="Times New Roman" w:hAnsi="Times New Roman"/>
                <w:i/>
                <w:sz w:val="18"/>
                <w:szCs w:val="20"/>
              </w:rPr>
            </w:pPr>
            <w:r w:rsidRPr="00305A12">
              <w:rPr>
                <w:rFonts w:ascii="Times New Roman" w:hAnsi="Times New Roman"/>
                <w:i/>
                <w:sz w:val="18"/>
                <w:szCs w:val="20"/>
              </w:rPr>
              <w:t>Support up to 1-bit SRI, and its bit-width is determined by number of configured SRS resources in the set</w:t>
            </w:r>
          </w:p>
          <w:p w14:paraId="73C9D18B" w14:textId="0E7062F8" w:rsidR="0004245F" w:rsidRPr="00305A12" w:rsidRDefault="0004245F" w:rsidP="0004245F">
            <w:pPr>
              <w:pStyle w:val="bullet1"/>
              <w:numPr>
                <w:ilvl w:val="0"/>
                <w:numId w:val="0"/>
              </w:numPr>
              <w:ind w:left="927"/>
              <w:rPr>
                <w:rFonts w:ascii="Times New Roman" w:hAnsi="Times New Roman"/>
                <w:i/>
                <w:sz w:val="18"/>
                <w:szCs w:val="20"/>
              </w:rPr>
            </w:pPr>
          </w:p>
        </w:tc>
      </w:tr>
    </w:tbl>
    <w:p w14:paraId="45015C4E" w14:textId="77777777" w:rsidR="007577F9" w:rsidRPr="00E56069" w:rsidRDefault="007577F9" w:rsidP="00FF203D">
      <w:pPr>
        <w:spacing w:after="0" w:line="240" w:lineRule="auto"/>
        <w:ind w:left="1440"/>
        <w:jc w:val="both"/>
        <w:rPr>
          <w:rFonts w:ascii="Times" w:eastAsia="MS Mincho" w:hAnsi="Times" w:cs="Times"/>
          <w:i/>
          <w:iCs/>
          <w:sz w:val="20"/>
          <w:lang w:eastAsia="ja-JP"/>
        </w:rPr>
      </w:pPr>
    </w:p>
    <w:p w14:paraId="15280403" w14:textId="39256C8C" w:rsidR="000D6787" w:rsidRDefault="00380FE0" w:rsidP="00FF203D">
      <w:pPr>
        <w:jc w:val="both"/>
        <w:rPr>
          <w:rFonts w:ascii="Times" w:hAnsi="Times" w:cs="Times"/>
        </w:rPr>
      </w:pPr>
      <w:r>
        <w:rPr>
          <w:rFonts w:ascii="Times" w:hAnsi="Times" w:cs="Times"/>
        </w:rPr>
        <w:t xml:space="preserve">This contribution is an updated version of our earlier contribution (R1-1720625). </w:t>
      </w:r>
      <w:r w:rsidR="00131BE1">
        <w:rPr>
          <w:rFonts w:ascii="Times" w:hAnsi="Times" w:cs="Times"/>
        </w:rPr>
        <w:t>In the</w:t>
      </w:r>
      <w:r w:rsidR="00FF203D" w:rsidRPr="00E56069">
        <w:rPr>
          <w:rFonts w:ascii="Times" w:hAnsi="Times" w:cs="Times"/>
        </w:rPr>
        <w:t xml:space="preserve"> contribution, we </w:t>
      </w:r>
      <w:r w:rsidR="006F0D3F">
        <w:rPr>
          <w:rFonts w:ascii="Times" w:hAnsi="Times" w:cs="Times"/>
        </w:rPr>
        <w:t>refl</w:t>
      </w:r>
      <w:r w:rsidR="003B5080">
        <w:rPr>
          <w:rFonts w:ascii="Times" w:hAnsi="Times" w:cs="Times"/>
        </w:rPr>
        <w:t>e</w:t>
      </w:r>
      <w:r w:rsidR="006F0D3F">
        <w:rPr>
          <w:rFonts w:ascii="Times" w:hAnsi="Times" w:cs="Times"/>
        </w:rPr>
        <w:t>ct</w:t>
      </w:r>
      <w:r w:rsidR="00FF203D" w:rsidRPr="00E56069">
        <w:rPr>
          <w:rFonts w:ascii="Times" w:hAnsi="Times" w:cs="Times"/>
        </w:rPr>
        <w:t xml:space="preserve"> on </w:t>
      </w:r>
      <w:r w:rsidR="006F0D3F">
        <w:rPr>
          <w:rFonts w:ascii="Times" w:hAnsi="Times" w:cs="Times"/>
        </w:rPr>
        <w:t xml:space="preserve">recent agreements on uplink codebook design, TRI and </w:t>
      </w:r>
      <w:r w:rsidR="003F508C">
        <w:rPr>
          <w:rFonts w:ascii="Times" w:hAnsi="Times" w:cs="Times"/>
        </w:rPr>
        <w:t xml:space="preserve">TPMI size </w:t>
      </w:r>
      <w:r w:rsidR="006F0D3F">
        <w:rPr>
          <w:rFonts w:ascii="Times" w:hAnsi="Times" w:cs="Times"/>
        </w:rPr>
        <w:t xml:space="preserve">optimization. Also, we provide our perspective on </w:t>
      </w:r>
      <w:r w:rsidR="00A47C00">
        <w:rPr>
          <w:rFonts w:ascii="Times" w:hAnsi="Times" w:cs="Times"/>
        </w:rPr>
        <w:t xml:space="preserve">design of </w:t>
      </w:r>
      <w:r w:rsidR="00127020">
        <w:rPr>
          <w:rFonts w:ascii="Times" w:hAnsi="Times" w:cs="Times"/>
        </w:rPr>
        <w:t xml:space="preserve">the </w:t>
      </w:r>
      <w:r w:rsidR="00A47C00">
        <w:rPr>
          <w:rFonts w:ascii="Times" w:hAnsi="Times" w:cs="Times"/>
        </w:rPr>
        <w:t xml:space="preserve">TPMI indication </w:t>
      </w:r>
      <w:r w:rsidR="00FC353F">
        <w:rPr>
          <w:rFonts w:ascii="Times" w:hAnsi="Times" w:cs="Times"/>
        </w:rPr>
        <w:t xml:space="preserve">mechanism </w:t>
      </w:r>
      <w:r w:rsidR="00A47C00">
        <w:rPr>
          <w:rFonts w:ascii="Times" w:hAnsi="Times" w:cs="Times"/>
        </w:rPr>
        <w:t xml:space="preserve">for </w:t>
      </w:r>
      <w:r w:rsidR="00FC353F">
        <w:rPr>
          <w:rFonts w:ascii="Times" w:hAnsi="Times" w:cs="Times"/>
        </w:rPr>
        <w:t xml:space="preserve">frequency selective </w:t>
      </w:r>
      <w:r w:rsidR="00A47C00">
        <w:rPr>
          <w:rFonts w:ascii="Times" w:hAnsi="Times" w:cs="Times"/>
        </w:rPr>
        <w:t>UL codebook</w:t>
      </w:r>
      <w:r w:rsidR="00FC353F">
        <w:rPr>
          <w:rFonts w:ascii="Times" w:hAnsi="Times" w:cs="Times"/>
        </w:rPr>
        <w:t>-based</w:t>
      </w:r>
      <w:r w:rsidR="00A47C00">
        <w:rPr>
          <w:rFonts w:ascii="Times" w:hAnsi="Times" w:cs="Times"/>
        </w:rPr>
        <w:t xml:space="preserve"> transmission. </w:t>
      </w:r>
    </w:p>
    <w:p w14:paraId="4B38659E" w14:textId="77777777" w:rsidR="0003212F" w:rsidRDefault="0003212F" w:rsidP="00FF203D">
      <w:pPr>
        <w:jc w:val="both"/>
        <w:rPr>
          <w:rFonts w:ascii="Times" w:hAnsi="Times" w:cs="Times"/>
        </w:rPr>
      </w:pPr>
    </w:p>
    <w:p w14:paraId="411E7BBD" w14:textId="46147510" w:rsidR="00085A01" w:rsidRPr="005066E0" w:rsidRDefault="00765F2E" w:rsidP="005066E0">
      <w:pPr>
        <w:pStyle w:val="Heading1"/>
        <w:pBdr>
          <w:top w:val="single" w:sz="12" w:space="5" w:color="auto"/>
        </w:pBdr>
        <w:spacing w:after="120"/>
        <w:jc w:val="both"/>
        <w:rPr>
          <w:sz w:val="32"/>
          <w:szCs w:val="32"/>
          <w:lang w:val="en-US"/>
        </w:rPr>
      </w:pPr>
      <w:r>
        <w:rPr>
          <w:sz w:val="32"/>
          <w:szCs w:val="32"/>
        </w:rPr>
        <w:lastRenderedPageBreak/>
        <w:t>T</w:t>
      </w:r>
      <w:r w:rsidR="009366D9">
        <w:rPr>
          <w:sz w:val="32"/>
          <w:szCs w:val="32"/>
        </w:rPr>
        <w:t>R</w:t>
      </w:r>
      <w:r>
        <w:rPr>
          <w:sz w:val="32"/>
          <w:szCs w:val="32"/>
        </w:rPr>
        <w:t xml:space="preserve">I </w:t>
      </w:r>
      <w:r w:rsidR="00703239">
        <w:rPr>
          <w:sz w:val="32"/>
          <w:szCs w:val="32"/>
        </w:rPr>
        <w:t>and TPMI Size</w:t>
      </w:r>
      <w:r>
        <w:rPr>
          <w:sz w:val="32"/>
          <w:szCs w:val="32"/>
        </w:rPr>
        <w:t xml:space="preserve"> </w:t>
      </w:r>
    </w:p>
    <w:p w14:paraId="44722089" w14:textId="76739BE6" w:rsidR="006309C7" w:rsidRDefault="0063405B" w:rsidP="0063405B">
      <w:pPr>
        <w:jc w:val="both"/>
        <w:rPr>
          <w:rFonts w:ascii="Times" w:hAnsi="Times" w:cs="Times"/>
        </w:rPr>
      </w:pPr>
      <w:r>
        <w:rPr>
          <w:rFonts w:ascii="Times" w:hAnsi="Times" w:cs="Times"/>
        </w:rPr>
        <w:t xml:space="preserve">For </w:t>
      </w:r>
      <w:r w:rsidRPr="004F3760">
        <w:rPr>
          <w:rFonts w:ascii="Times" w:hAnsi="Times" w:cs="Times"/>
        </w:rPr>
        <w:t xml:space="preserve">codebook-based </w:t>
      </w:r>
      <w:r w:rsidR="00E337BA">
        <w:rPr>
          <w:rFonts w:ascii="Times" w:hAnsi="Times" w:cs="Times"/>
        </w:rPr>
        <w:t>uplink</w:t>
      </w:r>
      <w:r w:rsidR="00E337BA" w:rsidRPr="004F3760">
        <w:rPr>
          <w:rFonts w:ascii="Times" w:hAnsi="Times" w:cs="Times"/>
        </w:rPr>
        <w:t xml:space="preserve"> </w:t>
      </w:r>
      <w:r w:rsidRPr="004F3760">
        <w:rPr>
          <w:rFonts w:ascii="Times" w:hAnsi="Times" w:cs="Times"/>
        </w:rPr>
        <w:t xml:space="preserve">precoding, the transmit precoding matrix indices (TPMI) </w:t>
      </w:r>
      <w:r>
        <w:rPr>
          <w:rFonts w:ascii="Times" w:hAnsi="Times" w:cs="Times"/>
        </w:rPr>
        <w:t>are indicated</w:t>
      </w:r>
      <w:r w:rsidRPr="004F3760">
        <w:rPr>
          <w:rFonts w:ascii="Times" w:hAnsi="Times" w:cs="Times"/>
        </w:rPr>
        <w:t xml:space="preserve"> </w:t>
      </w:r>
      <w:r>
        <w:rPr>
          <w:rFonts w:ascii="Times" w:hAnsi="Times" w:cs="Times"/>
        </w:rPr>
        <w:t>to the UE through</w:t>
      </w:r>
      <w:r w:rsidRPr="004F3760">
        <w:rPr>
          <w:rFonts w:ascii="Times" w:hAnsi="Times" w:cs="Times"/>
        </w:rPr>
        <w:t xml:space="preserve"> </w:t>
      </w:r>
      <w:r>
        <w:rPr>
          <w:rFonts w:ascii="Times" w:hAnsi="Times" w:cs="Times"/>
        </w:rPr>
        <w:t xml:space="preserve">a DCI. </w:t>
      </w:r>
      <w:r w:rsidR="00E337BA">
        <w:rPr>
          <w:rFonts w:ascii="Times" w:hAnsi="Times" w:cs="Times"/>
        </w:rPr>
        <w:t>The TPMI indicate</w:t>
      </w:r>
      <w:r w:rsidR="003B5080">
        <w:rPr>
          <w:rFonts w:ascii="Times" w:hAnsi="Times" w:cs="Times"/>
        </w:rPr>
        <w:t>s</w:t>
      </w:r>
      <w:r w:rsidR="00E337BA">
        <w:rPr>
          <w:rFonts w:ascii="Times" w:hAnsi="Times" w:cs="Times"/>
        </w:rPr>
        <w:t xml:space="preserve"> which entries of the codebook should be selected for MIMO precoding. T</w:t>
      </w:r>
      <w:r w:rsidR="009366D9" w:rsidRPr="004F3760">
        <w:rPr>
          <w:rFonts w:ascii="Times" w:hAnsi="Times" w:cs="Times"/>
        </w:rPr>
        <w:t>he size or the number of bits required for each TPMI depends on the size of the codebook</w:t>
      </w:r>
      <w:r w:rsidR="00E337BA">
        <w:rPr>
          <w:rFonts w:ascii="Times" w:hAnsi="Times" w:cs="Times"/>
        </w:rPr>
        <w:t xml:space="preserve"> which</w:t>
      </w:r>
      <w:r w:rsidR="009366D9">
        <w:rPr>
          <w:rFonts w:ascii="Times" w:hAnsi="Times" w:cs="Times"/>
        </w:rPr>
        <w:t xml:space="preserve">, </w:t>
      </w:r>
      <w:r w:rsidR="00E337BA">
        <w:rPr>
          <w:rFonts w:ascii="Times" w:hAnsi="Times" w:cs="Times"/>
        </w:rPr>
        <w:t xml:space="preserve">in turn, </w:t>
      </w:r>
      <w:r w:rsidR="006A0010">
        <w:rPr>
          <w:rFonts w:ascii="Times" w:hAnsi="Times" w:cs="Times"/>
        </w:rPr>
        <w:t>should</w:t>
      </w:r>
      <w:r w:rsidR="009366D9">
        <w:rPr>
          <w:rFonts w:ascii="Times" w:hAnsi="Times" w:cs="Times"/>
        </w:rPr>
        <w:t xml:space="preserve"> match the UE </w:t>
      </w:r>
      <w:r w:rsidR="00E337BA">
        <w:rPr>
          <w:rFonts w:ascii="Times" w:hAnsi="Times" w:cs="Times"/>
        </w:rPr>
        <w:t xml:space="preserve">coherence </w:t>
      </w:r>
      <w:r w:rsidR="009366D9">
        <w:rPr>
          <w:rFonts w:ascii="Times" w:hAnsi="Times" w:cs="Times"/>
        </w:rPr>
        <w:t>transmission capabilities</w:t>
      </w:r>
      <w:r w:rsidR="009366D9" w:rsidRPr="004F3760">
        <w:rPr>
          <w:rFonts w:ascii="Times" w:hAnsi="Times" w:cs="Times"/>
        </w:rPr>
        <w:t>.</w:t>
      </w:r>
      <w:r w:rsidR="009366D9">
        <w:rPr>
          <w:rFonts w:ascii="Times" w:hAnsi="Times" w:cs="Times"/>
        </w:rPr>
        <w:t xml:space="preserve"> </w:t>
      </w:r>
      <w:r w:rsidR="00E14134">
        <w:rPr>
          <w:rFonts w:ascii="Times" w:hAnsi="Times" w:cs="Times"/>
        </w:rPr>
        <w:t>Therefore</w:t>
      </w:r>
      <w:r w:rsidR="009366D9">
        <w:rPr>
          <w:rFonts w:ascii="Times" w:hAnsi="Times" w:cs="Times"/>
        </w:rPr>
        <w:t>, t</w:t>
      </w:r>
      <w:r>
        <w:rPr>
          <w:rFonts w:ascii="Times" w:hAnsi="Times" w:cs="Times"/>
        </w:rPr>
        <w:t xml:space="preserve">o avoid excessive downlink signaling overhead, the TPMI size </w:t>
      </w:r>
      <w:r w:rsidR="00672BBB">
        <w:rPr>
          <w:rFonts w:ascii="Times" w:hAnsi="Times" w:cs="Times"/>
        </w:rPr>
        <w:t>is adjusted based on the</w:t>
      </w:r>
      <w:r>
        <w:rPr>
          <w:rFonts w:ascii="Times" w:hAnsi="Times" w:cs="Times"/>
        </w:rPr>
        <w:t xml:space="preserve"> </w:t>
      </w:r>
      <w:r w:rsidR="009366D9">
        <w:rPr>
          <w:rFonts w:ascii="Times" w:hAnsi="Times" w:cs="Times"/>
        </w:rPr>
        <w:t xml:space="preserve">agreed </w:t>
      </w:r>
      <w:r>
        <w:rPr>
          <w:rFonts w:ascii="Times" w:hAnsi="Times" w:cs="Times"/>
        </w:rPr>
        <w:t>three different states of UE coherence capability</w:t>
      </w:r>
      <w:r w:rsidR="009366D9">
        <w:rPr>
          <w:rFonts w:ascii="Times" w:hAnsi="Times" w:cs="Times"/>
        </w:rPr>
        <w:t>, namely</w:t>
      </w:r>
      <w:r w:rsidR="00E14134">
        <w:rPr>
          <w:rFonts w:ascii="Times" w:hAnsi="Times" w:cs="Times"/>
        </w:rPr>
        <w:t>;</w:t>
      </w:r>
      <w:r w:rsidR="009366D9">
        <w:rPr>
          <w:rFonts w:ascii="Times" w:hAnsi="Times" w:cs="Times"/>
        </w:rPr>
        <w:t xml:space="preserve"> full coherency, partial coherenc</w:t>
      </w:r>
      <w:r w:rsidR="00E14134">
        <w:rPr>
          <w:rFonts w:ascii="Times" w:hAnsi="Times" w:cs="Times"/>
        </w:rPr>
        <w:t xml:space="preserve">y </w:t>
      </w:r>
      <w:r w:rsidR="009366D9">
        <w:rPr>
          <w:rFonts w:ascii="Times" w:hAnsi="Times" w:cs="Times"/>
        </w:rPr>
        <w:t>and non-coherency</w:t>
      </w:r>
      <w:r>
        <w:rPr>
          <w:rFonts w:ascii="Times" w:hAnsi="Times" w:cs="Times"/>
        </w:rPr>
        <w:t xml:space="preserve">. </w:t>
      </w:r>
      <w:r w:rsidR="00E14134">
        <w:rPr>
          <w:rFonts w:ascii="Times" w:hAnsi="Times" w:cs="Times"/>
        </w:rPr>
        <w:t>As such, a codebook subset restriction</w:t>
      </w:r>
      <w:r w:rsidR="0058735A">
        <w:rPr>
          <w:rFonts w:ascii="Times" w:hAnsi="Times" w:cs="Times"/>
        </w:rPr>
        <w:t xml:space="preserve"> (CBSR)</w:t>
      </w:r>
      <w:r w:rsidR="00E14134">
        <w:rPr>
          <w:rFonts w:ascii="Times" w:hAnsi="Times" w:cs="Times"/>
        </w:rPr>
        <w:t xml:space="preserve"> through RRC signaling is implemented to match the size of the required codebook to the actual coherent capability of the UE</w:t>
      </w:r>
      <w:r w:rsidR="00FB6C33">
        <w:rPr>
          <w:rFonts w:ascii="Times" w:hAnsi="Times" w:cs="Times"/>
        </w:rPr>
        <w:t xml:space="preserve"> [1]</w:t>
      </w:r>
      <w:r w:rsidR="00E14134">
        <w:rPr>
          <w:rFonts w:ascii="Times" w:hAnsi="Times" w:cs="Times"/>
        </w:rPr>
        <w:t xml:space="preserve">. </w:t>
      </w:r>
      <w:r w:rsidR="009366D9">
        <w:rPr>
          <w:rFonts w:ascii="Times" w:hAnsi="Times" w:cs="Times"/>
        </w:rPr>
        <w:t xml:space="preserve">Furthermore, it was </w:t>
      </w:r>
      <w:r w:rsidR="00E14134">
        <w:rPr>
          <w:rFonts w:ascii="Times" w:hAnsi="Times" w:cs="Times"/>
        </w:rPr>
        <w:t>a</w:t>
      </w:r>
      <w:r w:rsidR="009366D9">
        <w:rPr>
          <w:rFonts w:ascii="Times" w:hAnsi="Times" w:cs="Times"/>
        </w:rPr>
        <w:t xml:space="preserve">greed that a UE can expect that it is never configured to a </w:t>
      </w:r>
      <w:r w:rsidR="00672BBB">
        <w:rPr>
          <w:rFonts w:ascii="Times" w:hAnsi="Times" w:cs="Times"/>
        </w:rPr>
        <w:t xml:space="preserve">codebook that </w:t>
      </w:r>
      <w:r w:rsidR="00CD1000">
        <w:rPr>
          <w:rFonts w:ascii="Times" w:hAnsi="Times" w:cs="Times"/>
        </w:rPr>
        <w:t>necessitates a</w:t>
      </w:r>
      <w:r w:rsidR="00672BBB">
        <w:rPr>
          <w:rFonts w:ascii="Times" w:hAnsi="Times" w:cs="Times"/>
        </w:rPr>
        <w:t xml:space="preserve"> </w:t>
      </w:r>
      <w:r w:rsidR="009366D9">
        <w:rPr>
          <w:rFonts w:ascii="Times" w:hAnsi="Times" w:cs="Times"/>
        </w:rPr>
        <w:t xml:space="preserve">higher coherence </w:t>
      </w:r>
      <w:r w:rsidR="00672BBB">
        <w:rPr>
          <w:rFonts w:ascii="Times" w:hAnsi="Times" w:cs="Times"/>
        </w:rPr>
        <w:t>requirement tha</w:t>
      </w:r>
      <w:r w:rsidR="009D2C53">
        <w:rPr>
          <w:rFonts w:ascii="Times" w:hAnsi="Times" w:cs="Times"/>
        </w:rPr>
        <w:t>n</w:t>
      </w:r>
      <w:r w:rsidR="00672BBB">
        <w:rPr>
          <w:rFonts w:ascii="Times" w:hAnsi="Times" w:cs="Times"/>
        </w:rPr>
        <w:t xml:space="preserve"> its </w:t>
      </w:r>
      <w:r w:rsidR="009366D9">
        <w:rPr>
          <w:rFonts w:ascii="Times" w:hAnsi="Times" w:cs="Times"/>
        </w:rPr>
        <w:t>cap</w:t>
      </w:r>
      <w:r w:rsidR="006A0010">
        <w:rPr>
          <w:rFonts w:ascii="Times" w:hAnsi="Times" w:cs="Times"/>
        </w:rPr>
        <w:t>ab</w:t>
      </w:r>
      <w:r w:rsidR="009366D9">
        <w:rPr>
          <w:rFonts w:ascii="Times" w:hAnsi="Times" w:cs="Times"/>
        </w:rPr>
        <w:t>ility</w:t>
      </w:r>
      <w:r w:rsidR="00672BBB">
        <w:rPr>
          <w:rFonts w:ascii="Times" w:hAnsi="Times" w:cs="Times"/>
        </w:rPr>
        <w:t>.</w:t>
      </w:r>
    </w:p>
    <w:p w14:paraId="1E04EDA6" w14:textId="77777777" w:rsidR="009918A7" w:rsidRDefault="00542061" w:rsidP="009D2C53">
      <w:pPr>
        <w:jc w:val="both"/>
        <w:rPr>
          <w:rFonts w:ascii="Times" w:hAnsi="Times" w:cs="Times"/>
        </w:rPr>
      </w:pPr>
      <w:r>
        <w:rPr>
          <w:rFonts w:ascii="Times" w:hAnsi="Times" w:cs="Times"/>
        </w:rPr>
        <w:t xml:space="preserve">For a given coherence capability of UE, </w:t>
      </w:r>
      <w:r w:rsidR="00CD1000">
        <w:rPr>
          <w:rFonts w:ascii="Times" w:hAnsi="Times" w:cs="Times"/>
        </w:rPr>
        <w:t xml:space="preserve">gNB can decide on the max number of </w:t>
      </w:r>
      <w:r w:rsidR="00472954">
        <w:rPr>
          <w:rFonts w:ascii="Times" w:hAnsi="Times" w:cs="Times"/>
        </w:rPr>
        <w:t xml:space="preserve">uplink transmission layer. The </w:t>
      </w:r>
      <w:r w:rsidR="00077A5E">
        <w:rPr>
          <w:rFonts w:ascii="Times" w:hAnsi="Times" w:cs="Times"/>
        </w:rPr>
        <w:t xml:space="preserve">transmission </w:t>
      </w:r>
      <w:r w:rsidR="00472954">
        <w:rPr>
          <w:rFonts w:ascii="Times" w:hAnsi="Times" w:cs="Times"/>
        </w:rPr>
        <w:t xml:space="preserve">layer restriction </w:t>
      </w:r>
      <w:r w:rsidR="00CD1000">
        <w:rPr>
          <w:rFonts w:ascii="Times" w:hAnsi="Times" w:cs="Times"/>
        </w:rPr>
        <w:t xml:space="preserve">information is indicated </w:t>
      </w:r>
      <w:r w:rsidR="00D36F12">
        <w:rPr>
          <w:rFonts w:ascii="Times" w:hAnsi="Times" w:cs="Times"/>
        </w:rPr>
        <w:t xml:space="preserve">to UE </w:t>
      </w:r>
      <w:r w:rsidR="00CD1000">
        <w:rPr>
          <w:rFonts w:ascii="Times" w:hAnsi="Times" w:cs="Times"/>
        </w:rPr>
        <w:t xml:space="preserve">by </w:t>
      </w:r>
      <w:r w:rsidRPr="00E77D0E">
        <w:rPr>
          <w:rFonts w:ascii="Times" w:hAnsi="Times" w:cs="Times"/>
        </w:rPr>
        <w:t xml:space="preserve">transmit </w:t>
      </w:r>
      <w:r>
        <w:rPr>
          <w:rFonts w:ascii="Times" w:hAnsi="Times" w:cs="Times"/>
        </w:rPr>
        <w:t>rank indicator</w:t>
      </w:r>
      <w:r w:rsidRPr="00E77D0E">
        <w:rPr>
          <w:rFonts w:ascii="Times" w:hAnsi="Times" w:cs="Times"/>
        </w:rPr>
        <w:t xml:space="preserve"> (TRI) </w:t>
      </w:r>
      <w:r w:rsidR="00472954">
        <w:rPr>
          <w:rFonts w:ascii="Times" w:hAnsi="Times" w:cs="Times"/>
        </w:rPr>
        <w:t>in a DCI</w:t>
      </w:r>
      <w:r w:rsidR="00CD1000">
        <w:rPr>
          <w:rFonts w:ascii="Times" w:hAnsi="Times" w:cs="Times"/>
        </w:rPr>
        <w:t>.</w:t>
      </w:r>
      <w:r w:rsidR="00903BD9">
        <w:rPr>
          <w:rFonts w:ascii="Times" w:hAnsi="Times" w:cs="Times"/>
        </w:rPr>
        <w:t xml:space="preserve"> </w:t>
      </w:r>
      <w:r w:rsidR="009D2C53">
        <w:rPr>
          <w:rFonts w:ascii="Times" w:hAnsi="Times" w:cs="Times"/>
        </w:rPr>
        <w:t xml:space="preserve">The TRI can be changed dynamically based on the channel condition. </w:t>
      </w:r>
      <w:r w:rsidR="00F22466">
        <w:rPr>
          <w:rFonts w:ascii="Times" w:hAnsi="Times" w:cs="Times"/>
        </w:rPr>
        <w:t xml:space="preserve">Table 1 shows different potential range of TPMI based on </w:t>
      </w:r>
      <w:r w:rsidR="00C96EEE">
        <w:rPr>
          <w:rFonts w:ascii="Times" w:hAnsi="Times" w:cs="Times"/>
        </w:rPr>
        <w:t xml:space="preserve">TRI and </w:t>
      </w:r>
      <w:r w:rsidR="00F22466">
        <w:rPr>
          <w:rFonts w:ascii="Times" w:hAnsi="Times" w:cs="Times"/>
        </w:rPr>
        <w:t xml:space="preserve">UE coherence capability </w:t>
      </w:r>
      <w:r w:rsidR="009D2C53" w:rsidRPr="009D2C53">
        <w:rPr>
          <w:rFonts w:ascii="Times New Roman" w:hAnsi="Times New Roman" w:cs="Times New Roman"/>
        </w:rPr>
        <w:t xml:space="preserve">for </w:t>
      </w:r>
      <w:r w:rsidR="00C96EEE" w:rsidRPr="009D2C53">
        <w:rPr>
          <w:rFonts w:ascii="Times New Roman" w:hAnsi="Times New Roman" w:cs="Times New Roman"/>
        </w:rPr>
        <w:t xml:space="preserve">CP-OFDM </w:t>
      </w:r>
      <w:r w:rsidR="009D2C53" w:rsidRPr="009D2C53">
        <w:rPr>
          <w:rFonts w:ascii="Times New Roman" w:hAnsi="Times New Roman" w:cs="Times New Roman"/>
        </w:rPr>
        <w:t>4</w:t>
      </w:r>
      <w:r w:rsidR="00C96EEE">
        <w:rPr>
          <w:rFonts w:ascii="Times New Roman" w:hAnsi="Times New Roman" w:cs="Times New Roman"/>
        </w:rPr>
        <w:t xml:space="preserve"> port</w:t>
      </w:r>
      <w:r w:rsidR="009D2C53" w:rsidRPr="009D2C53">
        <w:rPr>
          <w:rFonts w:ascii="Times New Roman" w:hAnsi="Times New Roman" w:cs="Times New Roman"/>
        </w:rPr>
        <w:t xml:space="preserve"> UL MIMO Codebook</w:t>
      </w:r>
      <w:r w:rsidR="00F22466" w:rsidRPr="009D2C53">
        <w:rPr>
          <w:rFonts w:ascii="Times New Roman" w:hAnsi="Times New Roman" w:cs="Times New Roman"/>
        </w:rPr>
        <w:t>.</w:t>
      </w:r>
      <w:r w:rsidR="00F22466">
        <w:rPr>
          <w:rFonts w:ascii="Times" w:hAnsi="Times" w:cs="Times"/>
        </w:rPr>
        <w:t xml:space="preserve"> </w:t>
      </w:r>
      <w:r w:rsidR="00C96EEE">
        <w:rPr>
          <w:rFonts w:ascii="Times" w:hAnsi="Times" w:cs="Times"/>
        </w:rPr>
        <w:t>Based on recent agreements on 4TX codebook</w:t>
      </w:r>
      <w:r w:rsidR="006F0D3F">
        <w:rPr>
          <w:rFonts w:ascii="Times" w:hAnsi="Times" w:cs="Times"/>
        </w:rPr>
        <w:t xml:space="preserve"> summarized in </w:t>
      </w:r>
      <w:r w:rsidR="00C96EEE">
        <w:rPr>
          <w:rFonts w:ascii="Times" w:hAnsi="Times" w:cs="Times"/>
        </w:rPr>
        <w:t>Table 1, a TRI with a size of 2 bit is required</w:t>
      </w:r>
      <w:r w:rsidR="006F0D3F">
        <w:rPr>
          <w:rFonts w:ascii="Times" w:hAnsi="Times" w:cs="Times"/>
        </w:rPr>
        <w:t xml:space="preserve"> regardless of UE coherence capability</w:t>
      </w:r>
      <w:r w:rsidR="00C96EEE">
        <w:rPr>
          <w:rFonts w:ascii="Times" w:hAnsi="Times" w:cs="Times"/>
        </w:rPr>
        <w:t>.</w:t>
      </w:r>
      <w:r w:rsidR="006F0D3F">
        <w:rPr>
          <w:rFonts w:ascii="Times" w:hAnsi="Times" w:cs="Times"/>
        </w:rPr>
        <w:t xml:space="preserve"> However, for a given UE coherence capability and a preferred TRI, gNB may configure a UE such that the TPMI size is </w:t>
      </w:r>
      <w:r w:rsidR="003B5080">
        <w:rPr>
          <w:rFonts w:ascii="Times" w:hAnsi="Times" w:cs="Times"/>
        </w:rPr>
        <w:t xml:space="preserve">further </w:t>
      </w:r>
      <w:r w:rsidR="006F0D3F">
        <w:rPr>
          <w:rFonts w:ascii="Times" w:hAnsi="Times" w:cs="Times"/>
        </w:rPr>
        <w:t>minimized.</w:t>
      </w:r>
      <w:r w:rsidR="0058735A">
        <w:rPr>
          <w:rFonts w:ascii="Times" w:hAnsi="Times" w:cs="Times"/>
        </w:rPr>
        <w:t xml:space="preserve"> </w:t>
      </w:r>
      <w:r w:rsidR="001D7AC6">
        <w:rPr>
          <w:rFonts w:ascii="Times" w:hAnsi="Times" w:cs="Times"/>
        </w:rPr>
        <w:t xml:space="preserve">From the recent </w:t>
      </w:r>
      <w:r w:rsidR="0058735A">
        <w:rPr>
          <w:rFonts w:ascii="Times" w:hAnsi="Times" w:cs="Times"/>
        </w:rPr>
        <w:t xml:space="preserve">agreement, it does not seem clear whether TRI is considered for CBSR definition. If considered, then a higher saving in TPMI may be achieved, however in case of change in rank, </w:t>
      </w:r>
      <w:r w:rsidR="009918A7">
        <w:rPr>
          <w:rFonts w:ascii="Times" w:hAnsi="Times" w:cs="Times"/>
        </w:rPr>
        <w:t xml:space="preserve">CBSR needs to be refreshed as well. </w:t>
      </w:r>
    </w:p>
    <w:p w14:paraId="4CA74D68" w14:textId="13237F97" w:rsidR="009D2C53" w:rsidRPr="009918A7" w:rsidRDefault="009918A7" w:rsidP="009D2C53">
      <w:pPr>
        <w:jc w:val="both"/>
        <w:rPr>
          <w:rFonts w:ascii="Times" w:hAnsi="Times" w:cs="Times"/>
          <w:b/>
          <w:i/>
        </w:rPr>
      </w:pPr>
      <w:r w:rsidRPr="00E50331">
        <w:rPr>
          <w:rFonts w:ascii="Times" w:hAnsi="Times" w:cs="Times"/>
          <w:b/>
          <w:i/>
        </w:rPr>
        <w:t>Proposal 1 -</w:t>
      </w:r>
      <w:r>
        <w:rPr>
          <w:rFonts w:ascii="Times" w:hAnsi="Times" w:cs="Times"/>
          <w:b/>
        </w:rPr>
        <w:t xml:space="preserve"> </w:t>
      </w:r>
      <w:r w:rsidRPr="009918A7">
        <w:rPr>
          <w:rFonts w:ascii="Times" w:hAnsi="Times" w:cs="Times"/>
          <w:b/>
          <w:i/>
        </w:rPr>
        <w:t>RAN1 clarifies whether TRI is considered in definition of CBSR.</w:t>
      </w:r>
      <w:r w:rsidR="0058735A" w:rsidRPr="009918A7">
        <w:rPr>
          <w:rFonts w:ascii="Times" w:hAnsi="Times" w:cs="Times"/>
          <w:b/>
          <w:i/>
        </w:rPr>
        <w:t xml:space="preserve">  </w:t>
      </w:r>
    </w:p>
    <w:tbl>
      <w:tblPr>
        <w:tblW w:w="5400" w:type="dxa"/>
        <w:jc w:val="center"/>
        <w:tblLayout w:type="fixed"/>
        <w:tblLook w:val="01E0" w:firstRow="1" w:lastRow="1" w:firstColumn="1" w:lastColumn="1" w:noHBand="0" w:noVBand="0"/>
      </w:tblPr>
      <w:tblGrid>
        <w:gridCol w:w="1710"/>
        <w:gridCol w:w="990"/>
        <w:gridCol w:w="828"/>
        <w:gridCol w:w="882"/>
        <w:gridCol w:w="990"/>
      </w:tblGrid>
      <w:tr w:rsidR="009D2C53" w:rsidRPr="00F316B7" w14:paraId="532D2D2D" w14:textId="77777777" w:rsidTr="00F150F3">
        <w:trPr>
          <w:cantSplit/>
          <w:jc w:val="center"/>
        </w:trPr>
        <w:tc>
          <w:tcPr>
            <w:tcW w:w="5400" w:type="dxa"/>
            <w:gridSpan w:val="5"/>
          </w:tcPr>
          <w:p w14:paraId="495168C5" w14:textId="77777777" w:rsidR="009D2C53" w:rsidRPr="00F316B7" w:rsidRDefault="009D2C53" w:rsidP="00F150F3">
            <w:pPr>
              <w:keepNext/>
              <w:keepLines/>
              <w:spacing w:after="0"/>
              <w:jc w:val="center"/>
              <w:rPr>
                <w:rFonts w:ascii="Times New Roman" w:eastAsia="Times New Roman" w:hAnsi="Times New Roman"/>
                <w:b/>
                <w:sz w:val="16"/>
              </w:rPr>
            </w:pPr>
            <w:r w:rsidRPr="00F316B7">
              <w:rPr>
                <w:rFonts w:ascii="Times" w:eastAsia="Times New Roman" w:hAnsi="Times" w:cs="Times"/>
                <w:b/>
                <w:sz w:val="20"/>
              </w:rPr>
              <w:t xml:space="preserve">Table 1 </w:t>
            </w:r>
            <w:r>
              <w:rPr>
                <w:rFonts w:ascii="Times" w:eastAsia="Times New Roman" w:hAnsi="Times" w:cs="Times"/>
                <w:b/>
                <w:sz w:val="20"/>
              </w:rPr>
              <w:t>–</w:t>
            </w:r>
            <w:r w:rsidRPr="00F316B7">
              <w:rPr>
                <w:rFonts w:ascii="Times" w:eastAsia="Times New Roman" w:hAnsi="Times" w:cs="Times"/>
                <w:b/>
                <w:sz w:val="20"/>
              </w:rPr>
              <w:t xml:space="preserve"> </w:t>
            </w:r>
            <w:r>
              <w:rPr>
                <w:rFonts w:ascii="Times" w:eastAsia="Times New Roman" w:hAnsi="Times" w:cs="Times"/>
                <w:b/>
                <w:sz w:val="20"/>
              </w:rPr>
              <w:t>Number of Precoders per coherence capability and number of transmission layers</w:t>
            </w:r>
          </w:p>
        </w:tc>
      </w:tr>
      <w:tr w:rsidR="009D2C53" w:rsidRPr="00F316B7" w14:paraId="126D1A05" w14:textId="77777777" w:rsidTr="00F150F3">
        <w:trPr>
          <w:cantSplit/>
          <w:jc w:val="center"/>
        </w:trPr>
        <w:tc>
          <w:tcPr>
            <w:tcW w:w="1710" w:type="dxa"/>
            <w:tcBorders>
              <w:left w:val="single" w:sz="4" w:space="0" w:color="auto"/>
              <w:bottom w:val="single" w:sz="4" w:space="0" w:color="auto"/>
              <w:right w:val="single" w:sz="4" w:space="0" w:color="auto"/>
            </w:tcBorders>
            <w:shd w:val="clear" w:color="auto" w:fill="E0E0E0"/>
          </w:tcPr>
          <w:p w14:paraId="072AE880" w14:textId="77777777" w:rsidR="009D2C53" w:rsidRPr="00F316B7" w:rsidRDefault="009D2C53" w:rsidP="00F150F3">
            <w:pPr>
              <w:keepNext/>
              <w:keepLines/>
              <w:spacing w:after="0"/>
              <w:jc w:val="center"/>
              <w:rPr>
                <w:rFonts w:ascii="Times New Roman" w:eastAsia="Times New Roman" w:hAnsi="Times New Roman"/>
                <w:b/>
                <w:sz w:val="16"/>
              </w:rPr>
            </w:pPr>
          </w:p>
        </w:tc>
        <w:tc>
          <w:tcPr>
            <w:tcW w:w="3690" w:type="dxa"/>
            <w:gridSpan w:val="4"/>
            <w:tcBorders>
              <w:left w:val="single" w:sz="4" w:space="0" w:color="auto"/>
              <w:bottom w:val="single" w:sz="4" w:space="0" w:color="auto"/>
              <w:right w:val="single" w:sz="4" w:space="0" w:color="auto"/>
            </w:tcBorders>
            <w:shd w:val="clear" w:color="auto" w:fill="E0E0E0"/>
            <w:vAlign w:val="center"/>
            <w:hideMark/>
          </w:tcPr>
          <w:p w14:paraId="14261F1D" w14:textId="77777777" w:rsidR="009D2C53" w:rsidRDefault="009D2C53" w:rsidP="00F150F3">
            <w:pPr>
              <w:keepNext/>
              <w:keepLines/>
              <w:spacing w:after="0"/>
              <w:jc w:val="center"/>
              <w:rPr>
                <w:rFonts w:ascii="Times New Roman" w:eastAsia="Times New Roman" w:hAnsi="Times New Roman"/>
                <w:b/>
                <w:sz w:val="16"/>
              </w:rPr>
            </w:pPr>
            <w:r w:rsidRPr="00F316B7">
              <w:rPr>
                <w:rFonts w:ascii="Times New Roman" w:eastAsia="Times New Roman" w:hAnsi="Times New Roman"/>
                <w:b/>
                <w:sz w:val="16"/>
              </w:rPr>
              <w:t xml:space="preserve">Number of </w:t>
            </w:r>
            <w:r>
              <w:rPr>
                <w:rFonts w:ascii="Times New Roman" w:eastAsia="Times New Roman" w:hAnsi="Times New Roman"/>
                <w:b/>
                <w:sz w:val="16"/>
              </w:rPr>
              <w:t xml:space="preserve">Precoders </w:t>
            </w:r>
          </w:p>
          <w:p w14:paraId="1584603F" w14:textId="77777777" w:rsidR="009D2C53" w:rsidRPr="00F316B7" w:rsidRDefault="009D2C53" w:rsidP="00F150F3">
            <w:pPr>
              <w:keepNext/>
              <w:keepLines/>
              <w:spacing w:after="0"/>
              <w:jc w:val="center"/>
              <w:rPr>
                <w:rFonts w:ascii="Times New Roman" w:eastAsia="Times New Roman" w:hAnsi="Times New Roman"/>
                <w:b/>
                <w:sz w:val="16"/>
              </w:rPr>
            </w:pPr>
            <w:r>
              <w:rPr>
                <w:rFonts w:ascii="Times New Roman" w:eastAsia="Times New Roman" w:hAnsi="Times New Roman"/>
                <w:b/>
                <w:sz w:val="16"/>
              </w:rPr>
              <w:t>(</w:t>
            </w:r>
            <w:r w:rsidRPr="00F316B7">
              <w:rPr>
                <w:rFonts w:ascii="Times New Roman" w:eastAsia="Times New Roman" w:hAnsi="Times New Roman"/>
                <w:b/>
                <w:position w:val="-6"/>
                <w:sz w:val="16"/>
              </w:rPr>
              <w:object w:dxaOrig="400" w:dyaOrig="220" w14:anchorId="7FC7D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25pt" o:ole="">
                  <v:imagedata r:id="rId11" o:title=""/>
                </v:shape>
                <o:OLEObject Type="Embed" ProgID="Equation.3" ShapeID="_x0000_i1025" DrawAspect="Content" ObjectID="_1577262164" r:id="rId12"/>
              </w:object>
            </w:r>
            <w:r>
              <w:rPr>
                <w:rFonts w:ascii="Times New Roman" w:eastAsia="Times New Roman" w:hAnsi="Times New Roman"/>
                <w:b/>
                <w:sz w:val="16"/>
              </w:rPr>
              <w:t>Transmission Layer)</w:t>
            </w:r>
          </w:p>
        </w:tc>
      </w:tr>
      <w:tr w:rsidR="009D2C53" w:rsidRPr="00F316B7" w14:paraId="655A9272" w14:textId="77777777" w:rsidTr="00F150F3">
        <w:trPr>
          <w:cantSplit/>
          <w:jc w:val="center"/>
        </w:trPr>
        <w:tc>
          <w:tcPr>
            <w:tcW w:w="1710" w:type="dxa"/>
            <w:tcBorders>
              <w:top w:val="single" w:sz="4" w:space="0" w:color="auto"/>
              <w:left w:val="single" w:sz="4" w:space="0" w:color="auto"/>
              <w:bottom w:val="single" w:sz="4" w:space="0" w:color="auto"/>
              <w:right w:val="single" w:sz="4" w:space="0" w:color="auto"/>
            </w:tcBorders>
          </w:tcPr>
          <w:p w14:paraId="7E8BF014"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20"/>
                <w:lang w:val="en-GB"/>
              </w:rPr>
            </w:pPr>
            <w:r w:rsidRPr="00F316B7">
              <w:rPr>
                <w:rFonts w:ascii="Times New Roman" w:eastAsia="Times New Roman" w:hAnsi="Times New Roman"/>
                <w:b/>
                <w:sz w:val="16"/>
              </w:rPr>
              <w:t>UE Coherence Capability</w:t>
            </w:r>
          </w:p>
        </w:tc>
        <w:tc>
          <w:tcPr>
            <w:tcW w:w="990" w:type="dxa"/>
            <w:tcBorders>
              <w:top w:val="single" w:sz="4" w:space="0" w:color="auto"/>
              <w:left w:val="single" w:sz="4" w:space="0" w:color="auto"/>
              <w:bottom w:val="single" w:sz="4" w:space="0" w:color="auto"/>
              <w:right w:val="single" w:sz="4" w:space="0" w:color="auto"/>
            </w:tcBorders>
            <w:vAlign w:val="center"/>
          </w:tcPr>
          <w:p w14:paraId="59862D4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sidRPr="00F316B7">
              <w:rPr>
                <w:rFonts w:ascii="Times New Roman" w:eastAsia="Times New Roman" w:hAnsi="Times New Roman"/>
                <w:b/>
                <w:position w:val="-6"/>
                <w:sz w:val="16"/>
              </w:rPr>
              <w:object w:dxaOrig="520" w:dyaOrig="279" w14:anchorId="3177BBCC">
                <v:shape id="_x0000_i1026" type="#_x0000_t75" style="width:25.7pt;height:13.9pt" o:ole="">
                  <v:imagedata r:id="rId13" o:title=""/>
                </v:shape>
                <o:OLEObject Type="Embed" ProgID="Equation.3" ShapeID="_x0000_i1026" DrawAspect="Content" ObjectID="_1577262165" r:id="rId14"/>
              </w:object>
            </w:r>
          </w:p>
        </w:tc>
        <w:tc>
          <w:tcPr>
            <w:tcW w:w="828" w:type="dxa"/>
            <w:tcBorders>
              <w:top w:val="single" w:sz="4" w:space="0" w:color="auto"/>
              <w:left w:val="single" w:sz="4" w:space="0" w:color="auto"/>
              <w:bottom w:val="single" w:sz="4" w:space="0" w:color="auto"/>
              <w:right w:val="single" w:sz="4" w:space="0" w:color="auto"/>
            </w:tcBorders>
            <w:vAlign w:val="center"/>
          </w:tcPr>
          <w:p w14:paraId="0B84842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sidRPr="00F316B7">
              <w:rPr>
                <w:rFonts w:ascii="Times New Roman" w:eastAsia="Times New Roman" w:hAnsi="Times New Roman"/>
                <w:b/>
                <w:position w:val="-6"/>
                <w:sz w:val="16"/>
              </w:rPr>
              <w:object w:dxaOrig="560" w:dyaOrig="279" w14:anchorId="596C61FE">
                <v:shape id="_x0000_i1027" type="#_x0000_t75" style="width:27.85pt;height:13.9pt" o:ole="">
                  <v:imagedata r:id="rId15" o:title=""/>
                </v:shape>
                <o:OLEObject Type="Embed" ProgID="Equation.3" ShapeID="_x0000_i1027" DrawAspect="Content" ObjectID="_1577262166" r:id="rId16"/>
              </w:object>
            </w:r>
          </w:p>
        </w:tc>
        <w:tc>
          <w:tcPr>
            <w:tcW w:w="882" w:type="dxa"/>
            <w:tcBorders>
              <w:top w:val="single" w:sz="4" w:space="0" w:color="auto"/>
              <w:left w:val="single" w:sz="4" w:space="0" w:color="auto"/>
              <w:bottom w:val="single" w:sz="4" w:space="0" w:color="auto"/>
              <w:right w:val="single" w:sz="4" w:space="0" w:color="auto"/>
            </w:tcBorders>
            <w:vAlign w:val="center"/>
          </w:tcPr>
          <w:p w14:paraId="75CF2B00"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sidRPr="00F316B7">
              <w:rPr>
                <w:rFonts w:ascii="Times New Roman" w:eastAsia="Times New Roman" w:hAnsi="Times New Roman"/>
                <w:b/>
                <w:position w:val="-6"/>
                <w:sz w:val="16"/>
              </w:rPr>
              <w:object w:dxaOrig="540" w:dyaOrig="279" w14:anchorId="2DF821CB">
                <v:shape id="_x0000_i1028" type="#_x0000_t75" style="width:26.75pt;height:13.9pt" o:ole="">
                  <v:imagedata r:id="rId17" o:title=""/>
                </v:shape>
                <o:OLEObject Type="Embed" ProgID="Equation.3" ShapeID="_x0000_i1028" DrawAspect="Content" ObjectID="_1577262167" r:id="rId18"/>
              </w:object>
            </w:r>
          </w:p>
        </w:tc>
        <w:tc>
          <w:tcPr>
            <w:tcW w:w="990" w:type="dxa"/>
            <w:tcBorders>
              <w:top w:val="single" w:sz="4" w:space="0" w:color="auto"/>
              <w:left w:val="single" w:sz="4" w:space="0" w:color="auto"/>
              <w:bottom w:val="single" w:sz="4" w:space="0" w:color="auto"/>
              <w:right w:val="single" w:sz="4" w:space="0" w:color="auto"/>
            </w:tcBorders>
            <w:vAlign w:val="center"/>
          </w:tcPr>
          <w:p w14:paraId="27B1A6D9"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sidRPr="0049375C">
              <w:rPr>
                <w:rFonts w:ascii="Times New Roman" w:eastAsia="Times New Roman" w:hAnsi="Times New Roman"/>
                <w:b/>
                <w:position w:val="-6"/>
                <w:sz w:val="16"/>
              </w:rPr>
              <w:object w:dxaOrig="560" w:dyaOrig="279" w14:anchorId="23353E64">
                <v:shape id="_x0000_i1029" type="#_x0000_t75" style="width:27.85pt;height:13.9pt" o:ole="">
                  <v:imagedata r:id="rId19" o:title=""/>
                </v:shape>
                <o:OLEObject Type="Embed" ProgID="Equation.3" ShapeID="_x0000_i1029" DrawAspect="Content" ObjectID="_1577262168" r:id="rId20"/>
              </w:object>
            </w:r>
          </w:p>
        </w:tc>
      </w:tr>
      <w:tr w:rsidR="009D2C53" w:rsidRPr="00F316B7" w14:paraId="3CF6EEFC" w14:textId="77777777" w:rsidTr="00F150F3">
        <w:trPr>
          <w:cantSplit/>
          <w:jc w:val="center"/>
        </w:trPr>
        <w:tc>
          <w:tcPr>
            <w:tcW w:w="1710" w:type="dxa"/>
            <w:tcBorders>
              <w:top w:val="single" w:sz="4" w:space="0" w:color="auto"/>
              <w:left w:val="single" w:sz="4" w:space="0" w:color="auto"/>
              <w:bottom w:val="single" w:sz="4" w:space="0" w:color="auto"/>
              <w:right w:val="single" w:sz="4" w:space="0" w:color="auto"/>
            </w:tcBorders>
          </w:tcPr>
          <w:p w14:paraId="5EB1016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20"/>
                <w:lang w:val="en-GB"/>
              </w:rPr>
            </w:pPr>
            <w:r w:rsidRPr="00F316B7">
              <w:rPr>
                <w:rFonts w:ascii="Times New Roman" w:eastAsia="Times New Roman" w:hAnsi="Times New Roman" w:cs="Times New Roman"/>
                <w:b/>
                <w:sz w:val="16"/>
                <w:szCs w:val="20"/>
                <w:lang w:val="en-GB"/>
              </w:rPr>
              <w:t>Full Coherent</w:t>
            </w:r>
          </w:p>
        </w:tc>
        <w:tc>
          <w:tcPr>
            <w:tcW w:w="990" w:type="dxa"/>
            <w:tcBorders>
              <w:top w:val="single" w:sz="4" w:space="0" w:color="auto"/>
              <w:left w:val="single" w:sz="4" w:space="0" w:color="auto"/>
              <w:bottom w:val="single" w:sz="4" w:space="0" w:color="auto"/>
              <w:right w:val="single" w:sz="4" w:space="0" w:color="auto"/>
            </w:tcBorders>
            <w:vAlign w:val="center"/>
          </w:tcPr>
          <w:p w14:paraId="47905630"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074753FF"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8</w:t>
            </w:r>
          </w:p>
        </w:tc>
        <w:tc>
          <w:tcPr>
            <w:tcW w:w="882" w:type="dxa"/>
            <w:tcBorders>
              <w:top w:val="single" w:sz="4" w:space="0" w:color="auto"/>
              <w:left w:val="single" w:sz="4" w:space="0" w:color="auto"/>
              <w:bottom w:val="single" w:sz="4" w:space="0" w:color="auto"/>
              <w:right w:val="single" w:sz="4" w:space="0" w:color="auto"/>
            </w:tcBorders>
            <w:vAlign w:val="center"/>
          </w:tcPr>
          <w:p w14:paraId="566E07F8"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4</w:t>
            </w:r>
          </w:p>
        </w:tc>
        <w:tc>
          <w:tcPr>
            <w:tcW w:w="990" w:type="dxa"/>
            <w:tcBorders>
              <w:top w:val="single" w:sz="4" w:space="0" w:color="auto"/>
              <w:left w:val="single" w:sz="4" w:space="0" w:color="auto"/>
              <w:bottom w:val="single" w:sz="4" w:space="0" w:color="auto"/>
              <w:right w:val="single" w:sz="4" w:space="0" w:color="auto"/>
            </w:tcBorders>
            <w:vAlign w:val="center"/>
          </w:tcPr>
          <w:p w14:paraId="5634A6FC"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2</w:t>
            </w:r>
          </w:p>
        </w:tc>
      </w:tr>
      <w:tr w:rsidR="009D2C53" w:rsidRPr="00F316B7" w14:paraId="01837C55" w14:textId="77777777" w:rsidTr="00F150F3">
        <w:trPr>
          <w:cantSplit/>
          <w:jc w:val="center"/>
        </w:trPr>
        <w:tc>
          <w:tcPr>
            <w:tcW w:w="1710" w:type="dxa"/>
            <w:tcBorders>
              <w:top w:val="single" w:sz="4" w:space="0" w:color="auto"/>
              <w:left w:val="single" w:sz="4" w:space="0" w:color="auto"/>
              <w:bottom w:val="single" w:sz="4" w:space="0" w:color="auto"/>
              <w:right w:val="single" w:sz="4" w:space="0" w:color="auto"/>
            </w:tcBorders>
          </w:tcPr>
          <w:p w14:paraId="683B006D"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20"/>
                <w:lang w:val="en-GB"/>
              </w:rPr>
            </w:pPr>
            <w:r w:rsidRPr="00F316B7">
              <w:rPr>
                <w:rFonts w:ascii="Times New Roman" w:eastAsia="Times New Roman" w:hAnsi="Times New Roman" w:cs="Times New Roman"/>
                <w:b/>
                <w:sz w:val="16"/>
                <w:szCs w:val="20"/>
                <w:lang w:val="en-GB"/>
              </w:rPr>
              <w:t>Partial Coherent</w:t>
            </w:r>
          </w:p>
        </w:tc>
        <w:tc>
          <w:tcPr>
            <w:tcW w:w="990" w:type="dxa"/>
            <w:tcBorders>
              <w:top w:val="single" w:sz="4" w:space="0" w:color="auto"/>
              <w:left w:val="single" w:sz="4" w:space="0" w:color="auto"/>
              <w:bottom w:val="single" w:sz="4" w:space="0" w:color="auto"/>
              <w:right w:val="single" w:sz="4" w:space="0" w:color="auto"/>
            </w:tcBorders>
            <w:vAlign w:val="center"/>
          </w:tcPr>
          <w:p w14:paraId="3A8C4F5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8</w:t>
            </w:r>
          </w:p>
        </w:tc>
        <w:tc>
          <w:tcPr>
            <w:tcW w:w="828" w:type="dxa"/>
            <w:tcBorders>
              <w:top w:val="single" w:sz="4" w:space="0" w:color="auto"/>
              <w:left w:val="single" w:sz="4" w:space="0" w:color="auto"/>
              <w:bottom w:val="single" w:sz="4" w:space="0" w:color="auto"/>
              <w:right w:val="single" w:sz="4" w:space="0" w:color="auto"/>
            </w:tcBorders>
            <w:vAlign w:val="center"/>
          </w:tcPr>
          <w:p w14:paraId="33CD3645"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8</w:t>
            </w:r>
          </w:p>
        </w:tc>
        <w:tc>
          <w:tcPr>
            <w:tcW w:w="882" w:type="dxa"/>
            <w:tcBorders>
              <w:top w:val="single" w:sz="4" w:space="0" w:color="auto"/>
              <w:left w:val="single" w:sz="4" w:space="0" w:color="auto"/>
              <w:bottom w:val="single" w:sz="4" w:space="0" w:color="auto"/>
              <w:right w:val="single" w:sz="4" w:space="0" w:color="auto"/>
            </w:tcBorders>
            <w:vAlign w:val="center"/>
          </w:tcPr>
          <w:p w14:paraId="62A7B13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56471F2A"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2</w:t>
            </w:r>
          </w:p>
        </w:tc>
      </w:tr>
      <w:tr w:rsidR="009D2C53" w:rsidRPr="00F316B7" w14:paraId="58845854" w14:textId="77777777" w:rsidTr="00F150F3">
        <w:trPr>
          <w:cantSplit/>
          <w:jc w:val="center"/>
        </w:trPr>
        <w:tc>
          <w:tcPr>
            <w:tcW w:w="1710" w:type="dxa"/>
            <w:tcBorders>
              <w:top w:val="single" w:sz="4" w:space="0" w:color="auto"/>
              <w:left w:val="single" w:sz="4" w:space="0" w:color="auto"/>
              <w:bottom w:val="single" w:sz="4" w:space="0" w:color="auto"/>
              <w:right w:val="single" w:sz="4" w:space="0" w:color="auto"/>
            </w:tcBorders>
          </w:tcPr>
          <w:p w14:paraId="2C4575D6"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b/>
                <w:sz w:val="16"/>
                <w:szCs w:val="20"/>
                <w:lang w:val="en-GB"/>
              </w:rPr>
              <w:t>Non-Coherent</w:t>
            </w:r>
          </w:p>
        </w:tc>
        <w:tc>
          <w:tcPr>
            <w:tcW w:w="990" w:type="dxa"/>
            <w:tcBorders>
              <w:top w:val="single" w:sz="4" w:space="0" w:color="auto"/>
              <w:left w:val="single" w:sz="4" w:space="0" w:color="auto"/>
              <w:bottom w:val="single" w:sz="4" w:space="0" w:color="auto"/>
              <w:right w:val="single" w:sz="4" w:space="0" w:color="auto"/>
            </w:tcBorders>
            <w:vAlign w:val="center"/>
          </w:tcPr>
          <w:p w14:paraId="7FC66BFB"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4</w:t>
            </w:r>
          </w:p>
        </w:tc>
        <w:tc>
          <w:tcPr>
            <w:tcW w:w="828" w:type="dxa"/>
            <w:tcBorders>
              <w:top w:val="single" w:sz="4" w:space="0" w:color="auto"/>
              <w:left w:val="single" w:sz="4" w:space="0" w:color="auto"/>
              <w:bottom w:val="single" w:sz="4" w:space="0" w:color="auto"/>
              <w:right w:val="single" w:sz="4" w:space="0" w:color="auto"/>
            </w:tcBorders>
            <w:vAlign w:val="center"/>
          </w:tcPr>
          <w:p w14:paraId="7A296E55"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6</w:t>
            </w:r>
          </w:p>
        </w:tc>
        <w:tc>
          <w:tcPr>
            <w:tcW w:w="882" w:type="dxa"/>
            <w:tcBorders>
              <w:top w:val="single" w:sz="4" w:space="0" w:color="auto"/>
              <w:left w:val="single" w:sz="4" w:space="0" w:color="auto"/>
              <w:bottom w:val="single" w:sz="4" w:space="0" w:color="auto"/>
              <w:right w:val="single" w:sz="4" w:space="0" w:color="auto"/>
            </w:tcBorders>
            <w:vAlign w:val="center"/>
          </w:tcPr>
          <w:p w14:paraId="227ABBED"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59882F1D" w14:textId="77777777" w:rsidR="009D2C53" w:rsidRPr="00F316B7" w:rsidRDefault="009D2C53" w:rsidP="00F150F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val="en-GB"/>
              </w:rPr>
            </w:pPr>
            <w:r>
              <w:rPr>
                <w:rFonts w:ascii="Times New Roman" w:eastAsia="Times New Roman" w:hAnsi="Times New Roman" w:cs="Times New Roman"/>
                <w:sz w:val="16"/>
                <w:szCs w:val="20"/>
                <w:lang w:val="en-GB"/>
              </w:rPr>
              <w:t>1</w:t>
            </w:r>
          </w:p>
        </w:tc>
      </w:tr>
    </w:tbl>
    <w:p w14:paraId="3FC39C67" w14:textId="6426F794" w:rsidR="00F22466" w:rsidRDefault="00F22466" w:rsidP="00472954">
      <w:pPr>
        <w:jc w:val="both"/>
        <w:rPr>
          <w:rFonts w:ascii="Times" w:hAnsi="Times" w:cs="Times"/>
        </w:rPr>
      </w:pPr>
    </w:p>
    <w:p w14:paraId="570E10A7" w14:textId="4C4BBDFF" w:rsidR="00180B6F" w:rsidRPr="00DE1E23" w:rsidRDefault="00C34707" w:rsidP="00FF203D">
      <w:pPr>
        <w:pStyle w:val="Heading1"/>
        <w:jc w:val="both"/>
        <w:rPr>
          <w:sz w:val="32"/>
          <w:szCs w:val="32"/>
          <w:lang w:val="en-US"/>
        </w:rPr>
      </w:pPr>
      <w:r>
        <w:rPr>
          <w:sz w:val="32"/>
          <w:szCs w:val="32"/>
        </w:rPr>
        <w:t>TPMI Indication</w:t>
      </w:r>
    </w:p>
    <w:p w14:paraId="651968A9" w14:textId="77777777" w:rsidR="002C2357" w:rsidRDefault="009E666D" w:rsidP="00D45AA3">
      <w:pPr>
        <w:overflowPunct w:val="0"/>
        <w:autoSpaceDE w:val="0"/>
        <w:autoSpaceDN w:val="0"/>
        <w:adjustRightInd w:val="0"/>
        <w:spacing w:after="180" w:line="240" w:lineRule="auto"/>
        <w:contextualSpacing/>
        <w:jc w:val="both"/>
        <w:textAlignment w:val="baseline"/>
        <w:rPr>
          <w:rFonts w:ascii="Times" w:hAnsi="Times" w:cs="Times"/>
        </w:rPr>
      </w:pPr>
      <w:r>
        <w:rPr>
          <w:rFonts w:ascii="Times" w:hAnsi="Times" w:cs="Times"/>
        </w:rPr>
        <w:t xml:space="preserve">Unlike LTE, frequency selective uplink precoding is supported in NR for CP-OFDM. </w:t>
      </w:r>
      <w:r w:rsidR="00C16A44">
        <w:rPr>
          <w:rFonts w:ascii="Times" w:hAnsi="Times" w:cs="Times"/>
        </w:rPr>
        <w:t xml:space="preserve">It has been </w:t>
      </w:r>
      <w:r w:rsidR="00D45AA3">
        <w:rPr>
          <w:rFonts w:ascii="Times" w:hAnsi="Times" w:cs="Times"/>
        </w:rPr>
        <w:t xml:space="preserve">agreed </w:t>
      </w:r>
      <w:r w:rsidR="00E67FB1">
        <w:rPr>
          <w:rFonts w:ascii="Times" w:hAnsi="Times" w:cs="Times"/>
        </w:rPr>
        <w:t xml:space="preserve">[2] </w:t>
      </w:r>
      <w:r w:rsidR="00D45AA3">
        <w:rPr>
          <w:rFonts w:ascii="Times" w:hAnsi="Times" w:cs="Times"/>
        </w:rPr>
        <w:t>that f</w:t>
      </w:r>
      <w:r w:rsidR="00D45AA3" w:rsidRPr="00D45AA3">
        <w:rPr>
          <w:rFonts w:ascii="Times" w:hAnsi="Times" w:cs="Times"/>
        </w:rPr>
        <w:t xml:space="preserve">or codebook based </w:t>
      </w:r>
      <w:r>
        <w:rPr>
          <w:rFonts w:ascii="Times" w:hAnsi="Times" w:cs="Times"/>
        </w:rPr>
        <w:t xml:space="preserve">MIMO </w:t>
      </w:r>
      <w:r w:rsidR="00D45AA3" w:rsidRPr="00D45AA3">
        <w:rPr>
          <w:rFonts w:ascii="Times" w:hAnsi="Times" w:cs="Times"/>
        </w:rPr>
        <w:t>transmission for CP-OFDM based UL, when a UE is configured with UL frequency selective precoding and if subband TPMI signaling is supported, one of the alternatives</w:t>
      </w:r>
      <w:r w:rsidR="00D45AA3">
        <w:rPr>
          <w:rFonts w:ascii="Times" w:hAnsi="Times" w:cs="Times"/>
        </w:rPr>
        <w:t xml:space="preserve"> of</w:t>
      </w:r>
      <w:r w:rsidR="00342210">
        <w:rPr>
          <w:rFonts w:ascii="Times" w:hAnsi="Times" w:cs="Times"/>
        </w:rPr>
        <w:t>:</w:t>
      </w:r>
      <w:r w:rsidR="00D45AA3">
        <w:rPr>
          <w:rFonts w:ascii="Times" w:hAnsi="Times" w:cs="Times"/>
        </w:rPr>
        <w:t xml:space="preserve"> DCI signaling of TPMI only for allocated PRB</w:t>
      </w:r>
      <w:r w:rsidR="00342210">
        <w:rPr>
          <w:rFonts w:ascii="Times" w:hAnsi="Times" w:cs="Times"/>
        </w:rPr>
        <w:t>,</w:t>
      </w:r>
      <w:r w:rsidR="00D45AA3">
        <w:rPr>
          <w:rFonts w:ascii="Times" w:hAnsi="Times" w:cs="Times"/>
        </w:rPr>
        <w:t xml:space="preserve"> or </w:t>
      </w:r>
      <w:r w:rsidR="00342210">
        <w:rPr>
          <w:rFonts w:ascii="Times" w:hAnsi="Times" w:cs="Times"/>
        </w:rPr>
        <w:t>DCI signaling of TPMI for all PRBs should be supported.</w:t>
      </w:r>
    </w:p>
    <w:p w14:paraId="5508BE0E" w14:textId="78EE32A2" w:rsidR="002C2357" w:rsidRDefault="00342210" w:rsidP="00D45AA3">
      <w:pPr>
        <w:overflowPunct w:val="0"/>
        <w:autoSpaceDE w:val="0"/>
        <w:autoSpaceDN w:val="0"/>
        <w:adjustRightInd w:val="0"/>
        <w:spacing w:after="180" w:line="240" w:lineRule="auto"/>
        <w:contextualSpacing/>
        <w:jc w:val="both"/>
        <w:textAlignment w:val="baseline"/>
        <w:rPr>
          <w:rFonts w:ascii="Times" w:hAnsi="Times" w:cs="Times"/>
        </w:rPr>
      </w:pPr>
      <w:r>
        <w:rPr>
          <w:rFonts w:ascii="Times" w:hAnsi="Times" w:cs="Times"/>
        </w:rPr>
        <w:t xml:space="preserve"> </w:t>
      </w:r>
    </w:p>
    <w:p w14:paraId="2BAFBF9D" w14:textId="05967A31" w:rsidR="002C2357" w:rsidRDefault="002C2357" w:rsidP="00D45AA3">
      <w:pPr>
        <w:overflowPunct w:val="0"/>
        <w:autoSpaceDE w:val="0"/>
        <w:autoSpaceDN w:val="0"/>
        <w:adjustRightInd w:val="0"/>
        <w:spacing w:after="180" w:line="240" w:lineRule="auto"/>
        <w:contextualSpacing/>
        <w:jc w:val="both"/>
        <w:textAlignment w:val="baseline"/>
        <w:rPr>
          <w:rFonts w:ascii="Times" w:hAnsi="Times" w:cs="Times"/>
        </w:rPr>
      </w:pPr>
      <w:r>
        <w:rPr>
          <w:rFonts w:ascii="Times" w:hAnsi="Times" w:cs="Times"/>
        </w:rPr>
        <w:t xml:space="preserve">In case of support for TPMI indication for all subbands, a </w:t>
      </w:r>
      <w:r w:rsidR="006A0010">
        <w:rPr>
          <w:rFonts w:ascii="Times" w:hAnsi="Times" w:cs="Times"/>
        </w:rPr>
        <w:t>two-step</w:t>
      </w:r>
      <w:r>
        <w:rPr>
          <w:rFonts w:ascii="Times" w:hAnsi="Times" w:cs="Times"/>
        </w:rPr>
        <w:t xml:space="preserve"> precoding based on a wideband and subband precoders have been discussed. However, we don’t believe introducing of a wideband precoder would results in a meaningful reduction in the related overhead signaling. </w:t>
      </w:r>
    </w:p>
    <w:p w14:paraId="5FEC32FB" w14:textId="77777777" w:rsidR="002C2357" w:rsidRDefault="002C2357" w:rsidP="00D45AA3">
      <w:pPr>
        <w:overflowPunct w:val="0"/>
        <w:autoSpaceDE w:val="0"/>
        <w:autoSpaceDN w:val="0"/>
        <w:adjustRightInd w:val="0"/>
        <w:spacing w:after="180" w:line="240" w:lineRule="auto"/>
        <w:contextualSpacing/>
        <w:jc w:val="both"/>
        <w:textAlignment w:val="baseline"/>
        <w:rPr>
          <w:rFonts w:ascii="Times" w:hAnsi="Times" w:cs="Times"/>
        </w:rPr>
      </w:pPr>
    </w:p>
    <w:p w14:paraId="11F206CA" w14:textId="1AD10652" w:rsidR="00D45AA3" w:rsidRDefault="00342210" w:rsidP="00D45AA3">
      <w:pPr>
        <w:overflowPunct w:val="0"/>
        <w:autoSpaceDE w:val="0"/>
        <w:autoSpaceDN w:val="0"/>
        <w:adjustRightInd w:val="0"/>
        <w:spacing w:after="180" w:line="240" w:lineRule="auto"/>
        <w:contextualSpacing/>
        <w:jc w:val="both"/>
        <w:textAlignment w:val="baseline"/>
        <w:rPr>
          <w:rFonts w:ascii="Times" w:hAnsi="Times" w:cs="Times"/>
        </w:rPr>
      </w:pPr>
      <w:r>
        <w:rPr>
          <w:rFonts w:ascii="Times" w:hAnsi="Times" w:cs="Times"/>
        </w:rPr>
        <w:t>As</w:t>
      </w:r>
      <w:r w:rsidR="00D45AA3" w:rsidRPr="00D45AA3">
        <w:rPr>
          <w:rFonts w:ascii="Times" w:hAnsi="Times" w:cs="Times"/>
        </w:rPr>
        <w:t xml:space="preserve"> </w:t>
      </w:r>
      <w:r>
        <w:rPr>
          <w:rFonts w:ascii="Times" w:hAnsi="Times" w:cs="Times"/>
        </w:rPr>
        <w:t xml:space="preserve">it has been </w:t>
      </w:r>
      <w:r w:rsidR="00C16A44">
        <w:rPr>
          <w:rFonts w:ascii="Times" w:hAnsi="Times" w:cs="Times"/>
        </w:rPr>
        <w:t>discussed in the past meetings [</w:t>
      </w:r>
      <w:r w:rsidR="00D45AA3">
        <w:rPr>
          <w:rFonts w:ascii="Times" w:hAnsi="Times" w:cs="Times"/>
        </w:rPr>
        <w:t>2</w:t>
      </w:r>
      <w:r w:rsidR="00C16A44">
        <w:rPr>
          <w:rFonts w:ascii="Times" w:hAnsi="Times" w:cs="Times"/>
        </w:rPr>
        <w:t>]</w:t>
      </w:r>
      <w:r>
        <w:rPr>
          <w:rFonts w:ascii="Times" w:hAnsi="Times" w:cs="Times"/>
        </w:rPr>
        <w:t>,</w:t>
      </w:r>
      <w:r w:rsidR="00C16A44">
        <w:rPr>
          <w:rFonts w:ascii="Times" w:hAnsi="Times" w:cs="Times"/>
        </w:rPr>
        <w:t xml:space="preserve"> t</w:t>
      </w:r>
      <w:r w:rsidR="007125AE">
        <w:rPr>
          <w:rFonts w:ascii="Times" w:hAnsi="Times" w:cs="Times"/>
        </w:rPr>
        <w:t xml:space="preserve">o </w:t>
      </w:r>
      <w:r>
        <w:rPr>
          <w:rFonts w:ascii="Times" w:hAnsi="Times" w:cs="Times"/>
        </w:rPr>
        <w:t xml:space="preserve">reduce complexity, and </w:t>
      </w:r>
      <w:r w:rsidR="007125AE">
        <w:rPr>
          <w:rFonts w:ascii="Times" w:hAnsi="Times" w:cs="Times"/>
        </w:rPr>
        <w:t>simplify DCI decoding</w:t>
      </w:r>
      <w:r w:rsidR="00C16A44">
        <w:rPr>
          <w:rFonts w:ascii="Times" w:hAnsi="Times" w:cs="Times"/>
        </w:rPr>
        <w:t xml:space="preserve"> </w:t>
      </w:r>
      <w:r w:rsidR="00C16A44" w:rsidRPr="007125AE">
        <w:rPr>
          <w:rFonts w:ascii="Times" w:hAnsi="Times" w:cs="Times"/>
        </w:rPr>
        <w:t>in an uplink grant</w:t>
      </w:r>
      <w:r w:rsidR="00C16A44">
        <w:rPr>
          <w:rFonts w:ascii="Times" w:hAnsi="Times" w:cs="Times"/>
        </w:rPr>
        <w:t xml:space="preserve">, a fixed number of TPMIs should be employed </w:t>
      </w:r>
      <w:r w:rsidR="00C16A44" w:rsidRPr="007125AE">
        <w:rPr>
          <w:rFonts w:ascii="Times" w:hAnsi="Times" w:cs="Times"/>
        </w:rPr>
        <w:t>irrespective of the number of scheduled RBs for transmission</w:t>
      </w:r>
      <w:r w:rsidR="00C16A44">
        <w:rPr>
          <w:rFonts w:ascii="Times" w:hAnsi="Times" w:cs="Times"/>
        </w:rPr>
        <w:t>.</w:t>
      </w:r>
      <w:r w:rsidR="007125AE">
        <w:rPr>
          <w:rFonts w:ascii="Times" w:hAnsi="Times" w:cs="Times"/>
        </w:rPr>
        <w:t xml:space="preserve"> </w:t>
      </w:r>
      <w:r>
        <w:rPr>
          <w:rFonts w:ascii="Times" w:hAnsi="Times" w:cs="Times"/>
        </w:rPr>
        <w:t xml:space="preserve">Therefore, </w:t>
      </w:r>
      <w:bookmarkStart w:id="2" w:name="_Hlk498520455"/>
      <w:r>
        <w:rPr>
          <w:rFonts w:ascii="Times" w:hAnsi="Times" w:cs="Times"/>
        </w:rPr>
        <w:t xml:space="preserve">for a given size of the </w:t>
      </w:r>
      <w:r w:rsidRPr="007125AE">
        <w:rPr>
          <w:rFonts w:ascii="Times" w:hAnsi="Times" w:cs="Times"/>
        </w:rPr>
        <w:t xml:space="preserve">bandwidth part, a UE </w:t>
      </w:r>
      <w:r>
        <w:rPr>
          <w:rFonts w:ascii="Times" w:hAnsi="Times" w:cs="Times"/>
        </w:rPr>
        <w:t>should</w:t>
      </w:r>
      <w:r w:rsidRPr="007125AE">
        <w:rPr>
          <w:rFonts w:ascii="Times" w:hAnsi="Times" w:cs="Times"/>
        </w:rPr>
        <w:t xml:space="preserve"> be configured to have a fixed number of TPMIs (</w:t>
      </w:r>
      <m:oMath>
        <m:sSub>
          <m:sSubPr>
            <m:ctrlPr>
              <w:rPr>
                <w:rFonts w:ascii="Cambria Math" w:hAnsi="Cambria Math" w:cs="Times"/>
              </w:rPr>
            </m:ctrlPr>
          </m:sSubPr>
          <m:e>
            <m:r>
              <w:rPr>
                <w:rFonts w:ascii="Cambria Math" w:hAnsi="Cambria Math" w:cs="Times"/>
              </w:rPr>
              <m:t>N</m:t>
            </m:r>
          </m:e>
          <m:sub>
            <m:r>
              <w:rPr>
                <w:rFonts w:ascii="Cambria Math" w:hAnsi="Cambria Math" w:cs="Times"/>
              </w:rPr>
              <m:t>TPMI</m:t>
            </m:r>
          </m:sub>
        </m:sSub>
      </m:oMath>
      <w:r w:rsidRPr="007125AE">
        <w:rPr>
          <w:rFonts w:ascii="Times" w:hAnsi="Times" w:cs="Times"/>
        </w:rPr>
        <w:t>)</w:t>
      </w:r>
      <w:bookmarkEnd w:id="2"/>
      <w:r>
        <w:rPr>
          <w:rFonts w:ascii="Times" w:hAnsi="Times" w:cs="Times"/>
        </w:rPr>
        <w:t>.</w:t>
      </w:r>
    </w:p>
    <w:p w14:paraId="26375034" w14:textId="77777777" w:rsidR="00342210" w:rsidRDefault="00342210" w:rsidP="00D45AA3">
      <w:pPr>
        <w:overflowPunct w:val="0"/>
        <w:autoSpaceDE w:val="0"/>
        <w:autoSpaceDN w:val="0"/>
        <w:adjustRightInd w:val="0"/>
        <w:spacing w:after="180" w:line="240" w:lineRule="auto"/>
        <w:contextualSpacing/>
        <w:jc w:val="both"/>
        <w:textAlignment w:val="baseline"/>
        <w:rPr>
          <w:rFonts w:ascii="Times" w:hAnsi="Times" w:cs="Times"/>
        </w:rPr>
      </w:pPr>
    </w:p>
    <w:p w14:paraId="3F47DE13" w14:textId="047750F4" w:rsidR="00342210" w:rsidRPr="00D45AA3" w:rsidRDefault="00342210" w:rsidP="009918A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sidR="009918A7">
        <w:rPr>
          <w:rFonts w:ascii="Times New Roman" w:hAnsi="Times New Roman" w:cs="Times New Roman"/>
          <w:b/>
          <w:i/>
        </w:rPr>
        <w:t xml:space="preserve">2- </w:t>
      </w:r>
      <w:r w:rsidRPr="00D45AA3">
        <w:rPr>
          <w:rFonts w:ascii="Times New Roman" w:eastAsia="MS Mincho" w:hAnsi="Times New Roman" w:cs="Times New Roman"/>
          <w:b/>
          <w:i/>
          <w:iCs/>
        </w:rPr>
        <w:t>Subband TPMIs are signaled via DCI to the UE for all PRBs in UL, regardless of the actual RA for a given PUSCH transmission</w:t>
      </w:r>
      <w:r w:rsidR="009918A7">
        <w:rPr>
          <w:rFonts w:ascii="Times New Roman" w:eastAsia="MS Mincho" w:hAnsi="Times New Roman" w:cs="Times New Roman"/>
          <w:b/>
          <w:i/>
          <w:iCs/>
        </w:rPr>
        <w:t>.</w:t>
      </w:r>
    </w:p>
    <w:p w14:paraId="7DB4552B" w14:textId="77777777" w:rsidR="00342210" w:rsidRDefault="00342210" w:rsidP="00342210">
      <w:pPr>
        <w:overflowPunct w:val="0"/>
        <w:autoSpaceDE w:val="0"/>
        <w:autoSpaceDN w:val="0"/>
        <w:adjustRightInd w:val="0"/>
        <w:spacing w:after="180" w:line="240" w:lineRule="auto"/>
        <w:contextualSpacing/>
        <w:textAlignment w:val="baseline"/>
        <w:rPr>
          <w:rFonts w:ascii="Times New Roman" w:hAnsi="Times New Roman" w:cs="Times New Roman"/>
          <w:b/>
          <w:i/>
        </w:rPr>
      </w:pPr>
    </w:p>
    <w:p w14:paraId="49F853ED" w14:textId="76F4DE2A" w:rsidR="00342210" w:rsidRPr="00D45AA3" w:rsidRDefault="00342210" w:rsidP="00342210">
      <w:pPr>
        <w:overflowPunct w:val="0"/>
        <w:autoSpaceDE w:val="0"/>
        <w:autoSpaceDN w:val="0"/>
        <w:adjustRightInd w:val="0"/>
        <w:spacing w:after="180" w:line="240" w:lineRule="auto"/>
        <w:contextualSpacing/>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sidR="009918A7">
        <w:rPr>
          <w:rFonts w:ascii="Times New Roman" w:hAnsi="Times New Roman" w:cs="Times New Roman"/>
          <w:b/>
          <w:i/>
        </w:rPr>
        <w:t xml:space="preserve">3- </w:t>
      </w:r>
      <w:r>
        <w:rPr>
          <w:rFonts w:ascii="Times New Roman" w:hAnsi="Times New Roman" w:cs="Times New Roman"/>
          <w:b/>
          <w:i/>
        </w:rPr>
        <w:t>F</w:t>
      </w:r>
      <w:r w:rsidRPr="00342210">
        <w:rPr>
          <w:rFonts w:ascii="Times New Roman" w:eastAsia="MS Mincho" w:hAnsi="Times New Roman" w:cs="Times New Roman"/>
          <w:b/>
          <w:i/>
          <w:iCs/>
        </w:rPr>
        <w:t>or a given size of the bandwidth part, a UE should be configured to have a fixed number of TPMIs (</w:t>
      </w:r>
      <m:oMath>
        <m:sSub>
          <m:sSubPr>
            <m:ctrlPr>
              <w:rPr>
                <w:rFonts w:ascii="Cambria Math" w:eastAsia="MS Mincho" w:hAnsi="Cambria Math" w:cs="Times New Roman"/>
                <w:b/>
                <w:i/>
                <w:iCs/>
              </w:rPr>
            </m:ctrlPr>
          </m:sSubPr>
          <m:e>
            <m:r>
              <m:rPr>
                <m:sty m:val="bi"/>
              </m:rPr>
              <w:rPr>
                <w:rFonts w:ascii="Cambria Math" w:eastAsia="MS Mincho" w:hAnsi="Cambria Math" w:cs="Times New Roman"/>
              </w:rPr>
              <m:t>N</m:t>
            </m:r>
          </m:e>
          <m:sub>
            <m:r>
              <m:rPr>
                <m:sty m:val="bi"/>
              </m:rPr>
              <w:rPr>
                <w:rFonts w:ascii="Cambria Math" w:eastAsia="MS Mincho" w:hAnsi="Cambria Math" w:cs="Times New Roman"/>
              </w:rPr>
              <m:t>TPMI</m:t>
            </m:r>
          </m:sub>
        </m:sSub>
      </m:oMath>
      <w:r w:rsidRPr="00342210">
        <w:rPr>
          <w:rFonts w:ascii="Times New Roman" w:eastAsia="MS Mincho" w:hAnsi="Times New Roman" w:cs="Times New Roman"/>
          <w:b/>
          <w:i/>
          <w:iCs/>
        </w:rPr>
        <w:t>)</w:t>
      </w:r>
      <w:r>
        <w:rPr>
          <w:rFonts w:ascii="Times New Roman" w:eastAsia="MS Mincho" w:hAnsi="Times New Roman" w:cs="Times New Roman"/>
          <w:b/>
          <w:i/>
          <w:iCs/>
        </w:rPr>
        <w:t>.</w:t>
      </w:r>
    </w:p>
    <w:p w14:paraId="1DCBCC88" w14:textId="77777777" w:rsidR="00D45AA3" w:rsidRDefault="00D45AA3" w:rsidP="00D45AA3">
      <w:pPr>
        <w:overflowPunct w:val="0"/>
        <w:autoSpaceDE w:val="0"/>
        <w:autoSpaceDN w:val="0"/>
        <w:adjustRightInd w:val="0"/>
        <w:spacing w:after="180" w:line="240" w:lineRule="auto"/>
        <w:contextualSpacing/>
        <w:jc w:val="both"/>
        <w:textAlignment w:val="baseline"/>
        <w:rPr>
          <w:rFonts w:ascii="Times" w:hAnsi="Times" w:cs="Times"/>
        </w:rPr>
      </w:pPr>
    </w:p>
    <w:p w14:paraId="3BB128D6" w14:textId="470BB8E1" w:rsidR="007125AE" w:rsidRDefault="00C16A44" w:rsidP="00342210">
      <w:pPr>
        <w:overflowPunct w:val="0"/>
        <w:autoSpaceDE w:val="0"/>
        <w:autoSpaceDN w:val="0"/>
        <w:adjustRightInd w:val="0"/>
        <w:spacing w:after="180" w:line="240" w:lineRule="auto"/>
        <w:contextualSpacing/>
        <w:jc w:val="both"/>
        <w:textAlignment w:val="baseline"/>
        <w:rPr>
          <w:rFonts w:ascii="Times" w:hAnsi="Times" w:cs="Times"/>
        </w:rPr>
      </w:pPr>
      <w:r>
        <w:rPr>
          <w:rFonts w:ascii="Times" w:hAnsi="Times" w:cs="Times"/>
        </w:rPr>
        <w:t>I</w:t>
      </w:r>
      <w:r w:rsidR="007125AE" w:rsidRPr="007125AE">
        <w:rPr>
          <w:rFonts w:ascii="Times" w:hAnsi="Times" w:cs="Times"/>
        </w:rPr>
        <w:t xml:space="preserve">f the number of configured TPMIs is greater or equal the number of configured subbands </w:t>
      </w:r>
      <w:r>
        <w:rPr>
          <w:rFonts w:ascii="Times" w:hAnsi="Times" w:cs="Times"/>
        </w:rPr>
        <w:t>(</w:t>
      </w:r>
      <m:oMath>
        <m:sSub>
          <m:sSubPr>
            <m:ctrlPr>
              <w:rPr>
                <w:rFonts w:ascii="Cambria Math" w:hAnsi="Cambria Math" w:cs="Times"/>
              </w:rPr>
            </m:ctrlPr>
          </m:sSubPr>
          <m:e>
            <m:r>
              <w:rPr>
                <w:rFonts w:ascii="Cambria Math" w:hAnsi="Cambria Math" w:cs="Times"/>
              </w:rPr>
              <m:t>N</m:t>
            </m:r>
          </m:e>
          <m:sub>
            <m:r>
              <w:rPr>
                <w:rFonts w:ascii="Cambria Math" w:hAnsi="Cambria Math" w:cs="Times"/>
              </w:rPr>
              <m:t>Subband</m:t>
            </m:r>
          </m:sub>
        </m:sSub>
      </m:oMath>
      <w:r>
        <w:rPr>
          <w:rFonts w:ascii="Times" w:hAnsi="Times" w:cs="Times"/>
        </w:rPr>
        <w:t xml:space="preserve">) </w:t>
      </w:r>
      <w:r w:rsidR="007125AE" w:rsidRPr="007125AE">
        <w:rPr>
          <w:rFonts w:ascii="Times" w:hAnsi="Times" w:cs="Times"/>
        </w:rPr>
        <w:t xml:space="preserve">for frequency selective precoding, i.e., </w:t>
      </w:r>
      <m:oMath>
        <m:sSub>
          <m:sSubPr>
            <m:ctrlPr>
              <w:rPr>
                <w:rFonts w:ascii="Cambria Math" w:hAnsi="Cambria Math" w:cs="Times"/>
              </w:rPr>
            </m:ctrlPr>
          </m:sSubPr>
          <m:e>
            <m:r>
              <w:rPr>
                <w:rFonts w:ascii="Cambria Math" w:hAnsi="Cambria Math" w:cs="Times"/>
              </w:rPr>
              <m:t>N</m:t>
            </m:r>
          </m:e>
          <m:sub>
            <m:r>
              <w:rPr>
                <w:rFonts w:ascii="Cambria Math" w:hAnsi="Cambria Math" w:cs="Times"/>
              </w:rPr>
              <m:t>TPMI</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Subband</m:t>
            </m:r>
          </m:sub>
        </m:sSub>
      </m:oMath>
      <w:r w:rsidR="007125AE" w:rsidRPr="007125AE">
        <w:rPr>
          <w:rFonts w:ascii="Times" w:hAnsi="Times" w:cs="Times"/>
        </w:rPr>
        <w:t>, one unique TPMI per subband may be assigned</w:t>
      </w:r>
      <w:r>
        <w:rPr>
          <w:rFonts w:ascii="Times" w:hAnsi="Times" w:cs="Times"/>
        </w:rPr>
        <w:t xml:space="preserve">, as shown in </w:t>
      </w:r>
      <w:r w:rsidR="00895883">
        <w:rPr>
          <w:rFonts w:ascii="Times" w:hAnsi="Times" w:cs="Times"/>
        </w:rPr>
        <w:t>Figure 1.</w:t>
      </w:r>
      <w:r w:rsidR="007125AE" w:rsidRPr="007125AE">
        <w:rPr>
          <w:rFonts w:ascii="Times" w:hAnsi="Times" w:cs="Times"/>
        </w:rPr>
        <w:t xml:space="preserve"> </w:t>
      </w:r>
    </w:p>
    <w:p w14:paraId="7C802C88" w14:textId="77777777" w:rsidR="00342210" w:rsidRDefault="00342210" w:rsidP="00342210">
      <w:pPr>
        <w:overflowPunct w:val="0"/>
        <w:autoSpaceDE w:val="0"/>
        <w:autoSpaceDN w:val="0"/>
        <w:adjustRightInd w:val="0"/>
        <w:spacing w:after="180" w:line="240" w:lineRule="auto"/>
        <w:contextualSpacing/>
        <w:jc w:val="both"/>
        <w:textAlignment w:val="baseline"/>
        <w:rPr>
          <w:rFonts w:ascii="Times" w:hAnsi="Times" w:cs="Times"/>
        </w:rPr>
      </w:pPr>
    </w:p>
    <w:p w14:paraId="6149CC47" w14:textId="2724F187" w:rsidR="00895883" w:rsidRDefault="00F1025E" w:rsidP="00895883">
      <w:pPr>
        <w:spacing w:after="120" w:line="360" w:lineRule="auto"/>
        <w:jc w:val="center"/>
      </w:pPr>
      <w:r>
        <w:object w:dxaOrig="10005" w:dyaOrig="2655" w14:anchorId="34454A8D">
          <v:shape id="_x0000_i1030" type="#_x0000_t75" style="width:327.1pt;height:85.9pt" o:ole="">
            <v:imagedata r:id="rId21" o:title=""/>
          </v:shape>
          <o:OLEObject Type="Embed" ProgID="Visio.Drawing.15" ShapeID="_x0000_i1030" DrawAspect="Content" ObjectID="_1577262169" r:id="rId22"/>
        </w:object>
      </w:r>
    </w:p>
    <w:p w14:paraId="672E9D74" w14:textId="45AF0545" w:rsidR="00895883" w:rsidRPr="00895883" w:rsidRDefault="00895883" w:rsidP="00895883">
      <w:pPr>
        <w:pStyle w:val="Caption"/>
        <w:rPr>
          <w:rFonts w:ascii="Times New Roman" w:hAnsi="Times New Roman" w:cs="Times New Roman"/>
          <w:b w:val="0"/>
          <w:bCs w:val="0"/>
          <w:iCs/>
          <w:szCs w:val="24"/>
        </w:rPr>
      </w:pPr>
      <w:r w:rsidRPr="00895883">
        <w:rPr>
          <w:rFonts w:ascii="Times New Roman" w:hAnsi="Times New Roman" w:cs="Times New Roman"/>
          <w:sz w:val="18"/>
          <w:szCs w:val="24"/>
        </w:rPr>
        <w:t xml:space="preserve">Figure </w:t>
      </w:r>
      <w:r w:rsidRPr="00895883">
        <w:rPr>
          <w:rFonts w:ascii="Times New Roman" w:hAnsi="Times New Roman" w:cs="Times New Roman"/>
          <w:sz w:val="18"/>
          <w:szCs w:val="24"/>
        </w:rPr>
        <w:fldChar w:fldCharType="begin"/>
      </w:r>
      <w:r w:rsidRPr="00895883">
        <w:rPr>
          <w:rFonts w:ascii="Times New Roman" w:hAnsi="Times New Roman" w:cs="Times New Roman"/>
          <w:sz w:val="18"/>
          <w:szCs w:val="24"/>
        </w:rPr>
        <w:instrText xml:space="preserve"> SEQ Figure \* ARABIC \s 1 </w:instrText>
      </w:r>
      <w:r w:rsidRPr="00895883">
        <w:rPr>
          <w:rFonts w:ascii="Times New Roman" w:hAnsi="Times New Roman" w:cs="Times New Roman"/>
          <w:sz w:val="18"/>
          <w:szCs w:val="24"/>
        </w:rPr>
        <w:fldChar w:fldCharType="separate"/>
      </w:r>
      <w:r w:rsidR="00D45AA3">
        <w:rPr>
          <w:rFonts w:ascii="Times New Roman" w:hAnsi="Times New Roman" w:cs="Times New Roman"/>
          <w:noProof/>
          <w:sz w:val="18"/>
          <w:szCs w:val="24"/>
        </w:rPr>
        <w:t>1</w:t>
      </w:r>
      <w:r w:rsidRPr="00895883">
        <w:rPr>
          <w:rFonts w:ascii="Times New Roman" w:hAnsi="Times New Roman" w:cs="Times New Roman"/>
          <w:noProof/>
          <w:sz w:val="18"/>
          <w:szCs w:val="24"/>
        </w:rPr>
        <w:fldChar w:fldCharType="end"/>
      </w:r>
      <w:r w:rsidRPr="00895883">
        <w:rPr>
          <w:rFonts w:ascii="Times New Roman" w:hAnsi="Times New Roman" w:cs="Times New Roman"/>
          <w:sz w:val="18"/>
          <w:szCs w:val="24"/>
        </w:rPr>
        <w:t xml:space="preserve"> Frequency selective precoding with sub-band precoders</w:t>
      </w:r>
    </w:p>
    <w:p w14:paraId="43F7F6DA" w14:textId="5C1CB339" w:rsidR="00895883" w:rsidRDefault="00895883" w:rsidP="00D45AA3">
      <w:pPr>
        <w:jc w:val="both"/>
        <w:rPr>
          <w:rFonts w:ascii="Times" w:hAnsi="Times" w:cs="Times"/>
        </w:rPr>
      </w:pPr>
      <w:r w:rsidRPr="00895883">
        <w:rPr>
          <w:rFonts w:ascii="Times" w:hAnsi="Times" w:cs="Times"/>
        </w:rPr>
        <w:t xml:space="preserve">In </w:t>
      </w:r>
      <w:r>
        <w:rPr>
          <w:rFonts w:ascii="Times" w:hAnsi="Times" w:cs="Times"/>
        </w:rPr>
        <w:t>case</w:t>
      </w:r>
      <w:r w:rsidRPr="00895883">
        <w:rPr>
          <w:rFonts w:ascii="Times" w:hAnsi="Times" w:cs="Times"/>
        </w:rPr>
        <w:t xml:space="preserve"> the number of configured TPMIs is less than the number of configured subbands for frequency selective precoding, i.e., </w:t>
      </w:r>
      <m:oMath>
        <m:sSub>
          <m:sSubPr>
            <m:ctrlPr>
              <w:rPr>
                <w:rFonts w:ascii="Cambria Math" w:hAnsi="Cambria Math" w:cs="Times"/>
              </w:rPr>
            </m:ctrlPr>
          </m:sSubPr>
          <m:e>
            <m:r>
              <w:rPr>
                <w:rFonts w:ascii="Cambria Math" w:hAnsi="Cambria Math" w:cs="Times"/>
              </w:rPr>
              <m:t>N</m:t>
            </m:r>
          </m:e>
          <m:sub>
            <m:r>
              <w:rPr>
                <w:rFonts w:ascii="Cambria Math" w:hAnsi="Cambria Math" w:cs="Times"/>
              </w:rPr>
              <m:t>TPMI</m:t>
            </m:r>
          </m:sub>
        </m:sSub>
        <m:r>
          <m:rPr>
            <m:sty m:val="p"/>
          </m:rPr>
          <w:rPr>
            <w:rFonts w:ascii="Cambria Math" w:hAnsi="Cambria Math" w:cs="Times"/>
          </w:rPr>
          <m:t>&lt;</m:t>
        </m:r>
        <m:sSub>
          <m:sSubPr>
            <m:ctrlPr>
              <w:rPr>
                <w:rFonts w:ascii="Cambria Math" w:hAnsi="Cambria Math" w:cs="Times"/>
              </w:rPr>
            </m:ctrlPr>
          </m:sSubPr>
          <m:e>
            <m:r>
              <w:rPr>
                <w:rFonts w:ascii="Cambria Math" w:hAnsi="Cambria Math" w:cs="Times"/>
              </w:rPr>
              <m:t>N</m:t>
            </m:r>
          </m:e>
          <m:sub>
            <m:r>
              <w:rPr>
                <w:rFonts w:ascii="Cambria Math" w:hAnsi="Cambria Math" w:cs="Times"/>
              </w:rPr>
              <m:t>Subband</m:t>
            </m:r>
          </m:sub>
        </m:sSub>
      </m:oMath>
      <w:r w:rsidRPr="00895883">
        <w:rPr>
          <w:rFonts w:ascii="Times" w:hAnsi="Times" w:cs="Times"/>
        </w:rPr>
        <w:t xml:space="preserve">, some TPMIs </w:t>
      </w:r>
      <w:r>
        <w:rPr>
          <w:rFonts w:ascii="Times" w:hAnsi="Times" w:cs="Times"/>
        </w:rPr>
        <w:t>should</w:t>
      </w:r>
      <w:r w:rsidRPr="00895883">
        <w:rPr>
          <w:rFonts w:ascii="Times" w:hAnsi="Times" w:cs="Times"/>
        </w:rPr>
        <w:t xml:space="preserve"> be </w:t>
      </w:r>
      <w:r w:rsidR="00342210">
        <w:rPr>
          <w:rFonts w:ascii="Times" w:hAnsi="Times" w:cs="Times"/>
        </w:rPr>
        <w:t xml:space="preserve">used for </w:t>
      </w:r>
      <w:r w:rsidR="005A1519">
        <w:rPr>
          <w:rFonts w:ascii="Times" w:hAnsi="Times" w:cs="Times"/>
        </w:rPr>
        <w:t>precoding</w:t>
      </w:r>
      <w:r w:rsidR="00342210">
        <w:rPr>
          <w:rFonts w:ascii="Times" w:hAnsi="Times" w:cs="Times"/>
        </w:rPr>
        <w:t xml:space="preserve"> of</w:t>
      </w:r>
      <w:r w:rsidRPr="00895883">
        <w:rPr>
          <w:rFonts w:ascii="Times" w:hAnsi="Times" w:cs="Times"/>
        </w:rPr>
        <w:t xml:space="preserve"> more than one subband. </w:t>
      </w:r>
      <w:r w:rsidR="00BA7F7F">
        <w:rPr>
          <w:rFonts w:ascii="Times" w:hAnsi="Times" w:cs="Times"/>
        </w:rPr>
        <w:t>For example</w:t>
      </w:r>
      <w:r w:rsidRPr="00895883">
        <w:rPr>
          <w:rFonts w:ascii="Times" w:hAnsi="Times" w:cs="Times"/>
        </w:rPr>
        <w:t xml:space="preserve">, TPMIs </w:t>
      </w:r>
      <w:r w:rsidR="00D45AA3">
        <w:rPr>
          <w:rFonts w:ascii="Times" w:hAnsi="Times" w:cs="Times"/>
        </w:rPr>
        <w:t>are</w:t>
      </w:r>
      <w:r w:rsidRPr="00895883">
        <w:rPr>
          <w:rFonts w:ascii="Times" w:hAnsi="Times" w:cs="Times"/>
        </w:rPr>
        <w:t xml:space="preserve"> indicted only for a specific set of subbands, that can be referred to as primary subbands. </w:t>
      </w:r>
      <w:r w:rsidR="00D45AA3">
        <w:rPr>
          <w:rFonts w:ascii="Times" w:hAnsi="Times" w:cs="Times"/>
        </w:rPr>
        <w:t>Then, the</w:t>
      </w:r>
      <w:r w:rsidRPr="00895883">
        <w:rPr>
          <w:rFonts w:ascii="Times" w:hAnsi="Times" w:cs="Times"/>
        </w:rPr>
        <w:t xml:space="preserve"> UE use</w:t>
      </w:r>
      <w:r w:rsidR="00D45AA3">
        <w:rPr>
          <w:rFonts w:ascii="Times" w:hAnsi="Times" w:cs="Times"/>
        </w:rPr>
        <w:t>s</w:t>
      </w:r>
      <w:r w:rsidRPr="00895883">
        <w:rPr>
          <w:rFonts w:ascii="Times" w:hAnsi="Times" w:cs="Times"/>
        </w:rPr>
        <w:t xml:space="preserve"> the received TPMIs intended for the primary subbands for precoding of one or more of its adjacent subbands</w:t>
      </w:r>
      <w:r w:rsidR="00D45AA3">
        <w:rPr>
          <w:rFonts w:ascii="Times" w:hAnsi="Times" w:cs="Times"/>
        </w:rPr>
        <w:t>.</w:t>
      </w:r>
      <w:r w:rsidRPr="00895883">
        <w:rPr>
          <w:rFonts w:ascii="Times" w:hAnsi="Times" w:cs="Times"/>
        </w:rPr>
        <w:t xml:space="preserve"> </w:t>
      </w:r>
      <w:r w:rsidRPr="00895883">
        <w:rPr>
          <w:rFonts w:ascii="Times" w:hAnsi="Times" w:cs="Times"/>
        </w:rPr>
        <w:fldChar w:fldCharType="begin"/>
      </w:r>
      <w:r w:rsidRPr="00895883">
        <w:rPr>
          <w:rFonts w:ascii="Times" w:hAnsi="Times" w:cs="Times"/>
        </w:rPr>
        <w:instrText xml:space="preserve"> REF _Ref497988224 \h </w:instrText>
      </w:r>
      <w:r>
        <w:rPr>
          <w:rFonts w:ascii="Times" w:hAnsi="Times" w:cs="Times"/>
        </w:rPr>
        <w:instrText xml:space="preserve"> \* MERGEFORMAT </w:instrText>
      </w:r>
      <w:r w:rsidRPr="00895883">
        <w:rPr>
          <w:rFonts w:ascii="Times" w:hAnsi="Times" w:cs="Times"/>
        </w:rPr>
      </w:r>
      <w:r w:rsidRPr="00895883">
        <w:rPr>
          <w:rFonts w:ascii="Times" w:hAnsi="Times" w:cs="Times"/>
        </w:rPr>
        <w:fldChar w:fldCharType="separate"/>
      </w:r>
      <w:r w:rsidR="00D45AA3" w:rsidRPr="00D45AA3">
        <w:rPr>
          <w:rFonts w:ascii="Times" w:hAnsi="Times" w:cs="Times"/>
        </w:rPr>
        <w:t>Figure 2</w:t>
      </w:r>
      <w:r w:rsidRPr="00895883">
        <w:rPr>
          <w:rFonts w:ascii="Times" w:hAnsi="Times" w:cs="Times"/>
        </w:rPr>
        <w:fldChar w:fldCharType="end"/>
      </w:r>
      <w:r w:rsidRPr="00895883">
        <w:rPr>
          <w:rFonts w:ascii="Times" w:hAnsi="Times" w:cs="Times"/>
        </w:rPr>
        <w:t xml:space="preserve"> shows an exemplary case of where the indicated TPMIs of primary subband</w:t>
      </w:r>
      <w:r w:rsidR="00D45AA3">
        <w:rPr>
          <w:rFonts w:ascii="Times" w:hAnsi="Times" w:cs="Times"/>
        </w:rPr>
        <w:t>s</w:t>
      </w:r>
      <w:r w:rsidRPr="00895883">
        <w:rPr>
          <w:rFonts w:ascii="Times" w:hAnsi="Times" w:cs="Times"/>
        </w:rPr>
        <w:t xml:space="preserve"> {1, 3, 5, 7} are also applied on their immediately next adjacent subbands {2, 4, 6, 8}. The designation of the primary subbands </w:t>
      </w:r>
      <w:r w:rsidR="00D45AA3">
        <w:rPr>
          <w:rFonts w:ascii="Times" w:hAnsi="Times" w:cs="Times"/>
        </w:rPr>
        <w:t xml:space="preserve">can also </w:t>
      </w:r>
      <w:r w:rsidRPr="00895883">
        <w:rPr>
          <w:rFonts w:ascii="Times" w:hAnsi="Times" w:cs="Times"/>
        </w:rPr>
        <w:t xml:space="preserve">be based on a </w:t>
      </w:r>
      <w:r w:rsidR="00D45AA3">
        <w:rPr>
          <w:rFonts w:ascii="Times" w:hAnsi="Times" w:cs="Times"/>
        </w:rPr>
        <w:t>non-uniform</w:t>
      </w:r>
      <w:r w:rsidRPr="00895883">
        <w:rPr>
          <w:rFonts w:ascii="Times" w:hAnsi="Times" w:cs="Times"/>
        </w:rPr>
        <w:t xml:space="preserve"> pattern as shown in </w:t>
      </w:r>
      <w:r w:rsidRPr="00895883">
        <w:rPr>
          <w:rFonts w:ascii="Times" w:hAnsi="Times" w:cs="Times"/>
        </w:rPr>
        <w:fldChar w:fldCharType="begin"/>
      </w:r>
      <w:r w:rsidRPr="00895883">
        <w:rPr>
          <w:rFonts w:ascii="Times" w:hAnsi="Times" w:cs="Times"/>
        </w:rPr>
        <w:instrText xml:space="preserve"> REF _Ref497988224 \h </w:instrText>
      </w:r>
      <w:r>
        <w:rPr>
          <w:rFonts w:ascii="Times" w:hAnsi="Times" w:cs="Times"/>
        </w:rPr>
        <w:instrText xml:space="preserve"> \* MERGEFORMAT </w:instrText>
      </w:r>
      <w:r w:rsidRPr="00895883">
        <w:rPr>
          <w:rFonts w:ascii="Times" w:hAnsi="Times" w:cs="Times"/>
        </w:rPr>
      </w:r>
      <w:r w:rsidRPr="00895883">
        <w:rPr>
          <w:rFonts w:ascii="Times" w:hAnsi="Times" w:cs="Times"/>
        </w:rPr>
        <w:fldChar w:fldCharType="separate"/>
      </w:r>
      <w:r w:rsidR="00D45AA3" w:rsidRPr="00D45AA3">
        <w:rPr>
          <w:rFonts w:ascii="Times" w:hAnsi="Times" w:cs="Times"/>
        </w:rPr>
        <w:t>Figure 2</w:t>
      </w:r>
      <w:r w:rsidRPr="00895883">
        <w:rPr>
          <w:rFonts w:ascii="Times" w:hAnsi="Times" w:cs="Times"/>
        </w:rPr>
        <w:fldChar w:fldCharType="end"/>
      </w:r>
      <w:r w:rsidR="00D45AA3">
        <w:rPr>
          <w:rFonts w:ascii="Times" w:hAnsi="Times" w:cs="Times"/>
        </w:rPr>
        <w:t>. In this case, t</w:t>
      </w:r>
      <w:r w:rsidRPr="00895883">
        <w:rPr>
          <w:rFonts w:ascii="Times" w:hAnsi="Times" w:cs="Times"/>
        </w:rPr>
        <w:t xml:space="preserve">o support a fair and balanced assignment of the primary subbands across </w:t>
      </w:r>
      <w:r w:rsidR="00F1025E">
        <w:rPr>
          <w:rFonts w:ascii="Times" w:hAnsi="Times" w:cs="Times"/>
        </w:rPr>
        <w:t xml:space="preserve">a </w:t>
      </w:r>
      <w:r w:rsidRPr="00895883">
        <w:rPr>
          <w:rFonts w:ascii="Times" w:hAnsi="Times" w:cs="Times"/>
        </w:rPr>
        <w:t>scheduled transmission</w:t>
      </w:r>
      <w:r w:rsidR="00D45AA3">
        <w:rPr>
          <w:rFonts w:ascii="Times" w:hAnsi="Times" w:cs="Times"/>
        </w:rPr>
        <w:t>, t</w:t>
      </w:r>
      <w:r w:rsidRPr="00895883">
        <w:rPr>
          <w:rFonts w:ascii="Times" w:hAnsi="Times" w:cs="Times"/>
        </w:rPr>
        <w:t xml:space="preserve">he pattern of primary subbands </w:t>
      </w:r>
      <w:r w:rsidR="00D45AA3">
        <w:rPr>
          <w:rFonts w:ascii="Times" w:hAnsi="Times" w:cs="Times"/>
        </w:rPr>
        <w:t>can</w:t>
      </w:r>
      <w:r w:rsidRPr="00895883">
        <w:rPr>
          <w:rFonts w:ascii="Times" w:hAnsi="Times" w:cs="Times"/>
        </w:rPr>
        <w:t xml:space="preserve"> be cycled for each transmission event. </w:t>
      </w:r>
    </w:p>
    <w:p w14:paraId="4BAC50AB" w14:textId="1ED78FF8" w:rsidR="002068C1" w:rsidRPr="00D45AA3" w:rsidRDefault="002068C1" w:rsidP="002068C1">
      <w:pPr>
        <w:overflowPunct w:val="0"/>
        <w:autoSpaceDE w:val="0"/>
        <w:autoSpaceDN w:val="0"/>
        <w:adjustRightInd w:val="0"/>
        <w:spacing w:after="180" w:line="240" w:lineRule="auto"/>
        <w:contextualSpacing/>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sidR="009918A7">
        <w:rPr>
          <w:rFonts w:ascii="Times New Roman" w:hAnsi="Times New Roman" w:cs="Times New Roman"/>
          <w:b/>
          <w:i/>
        </w:rPr>
        <w:t>4</w:t>
      </w:r>
      <w:r w:rsidRPr="00D45AA3">
        <w:rPr>
          <w:rFonts w:ascii="Times New Roman" w:hAnsi="Times New Roman" w:cs="Times New Roman"/>
          <w:b/>
          <w:i/>
        </w:rPr>
        <w:t xml:space="preserve"> – </w:t>
      </w:r>
      <w:r>
        <w:rPr>
          <w:rFonts w:ascii="Times New Roman" w:hAnsi="Times New Roman" w:cs="Times New Roman"/>
          <w:b/>
          <w:i/>
        </w:rPr>
        <w:t xml:space="preserve">Re-use TPMIs of primary subbands for </w:t>
      </w:r>
      <w:r w:rsidR="005A1519">
        <w:rPr>
          <w:rFonts w:ascii="Times New Roman" w:hAnsi="Times New Roman" w:cs="Times New Roman"/>
          <w:b/>
          <w:i/>
        </w:rPr>
        <w:t>precoding</w:t>
      </w:r>
      <w:r>
        <w:rPr>
          <w:rFonts w:ascii="Times New Roman" w:hAnsi="Times New Roman" w:cs="Times New Roman"/>
          <w:b/>
          <w:i/>
        </w:rPr>
        <w:t xml:space="preserve"> of their closest subbands. </w:t>
      </w:r>
    </w:p>
    <w:p w14:paraId="1AC5F159" w14:textId="062CA9C6" w:rsidR="00895883" w:rsidRDefault="00F1025E" w:rsidP="00895883">
      <w:pPr>
        <w:spacing w:after="120" w:line="360" w:lineRule="auto"/>
        <w:jc w:val="center"/>
      </w:pPr>
      <w:r>
        <w:object w:dxaOrig="15541" w:dyaOrig="4170" w14:anchorId="3860F46C">
          <v:shape id="_x0000_i1031" type="#_x0000_t75" style="width:365.1pt;height:98.5pt" o:ole="">
            <v:imagedata r:id="rId23" o:title=""/>
          </v:shape>
          <o:OLEObject Type="Embed" ProgID="Visio.Drawing.15" ShapeID="_x0000_i1031" DrawAspect="Content" ObjectID="_1577262170" r:id="rId24"/>
        </w:object>
      </w:r>
    </w:p>
    <w:p w14:paraId="36C8A93E" w14:textId="3E58849E" w:rsidR="00895883" w:rsidRPr="00895883" w:rsidRDefault="00895883" w:rsidP="00895883">
      <w:pPr>
        <w:pStyle w:val="Caption"/>
        <w:rPr>
          <w:rFonts w:ascii="Times New Roman" w:hAnsi="Times New Roman" w:cs="Times New Roman"/>
          <w:sz w:val="20"/>
          <w:szCs w:val="24"/>
        </w:rPr>
      </w:pPr>
      <w:bookmarkStart w:id="3" w:name="_Ref497988224"/>
      <w:bookmarkStart w:id="4" w:name="_Ref498000232"/>
      <w:r w:rsidRPr="00895883">
        <w:rPr>
          <w:rFonts w:ascii="Times New Roman" w:hAnsi="Times New Roman" w:cs="Times New Roman"/>
          <w:sz w:val="20"/>
          <w:szCs w:val="24"/>
        </w:rPr>
        <w:t xml:space="preserve">Figure </w:t>
      </w:r>
      <w:r w:rsidRPr="00895883">
        <w:rPr>
          <w:rFonts w:ascii="Times New Roman" w:hAnsi="Times New Roman" w:cs="Times New Roman"/>
          <w:sz w:val="20"/>
          <w:szCs w:val="24"/>
        </w:rPr>
        <w:fldChar w:fldCharType="begin"/>
      </w:r>
      <w:r w:rsidRPr="00895883">
        <w:rPr>
          <w:rFonts w:ascii="Times New Roman" w:hAnsi="Times New Roman" w:cs="Times New Roman"/>
          <w:sz w:val="20"/>
          <w:szCs w:val="24"/>
        </w:rPr>
        <w:instrText xml:space="preserve"> SEQ Figure \* ARABIC \s 1 </w:instrText>
      </w:r>
      <w:r w:rsidRPr="00895883">
        <w:rPr>
          <w:rFonts w:ascii="Times New Roman" w:hAnsi="Times New Roman" w:cs="Times New Roman"/>
          <w:sz w:val="20"/>
          <w:szCs w:val="24"/>
        </w:rPr>
        <w:fldChar w:fldCharType="separate"/>
      </w:r>
      <w:r w:rsidR="00D45AA3">
        <w:rPr>
          <w:rFonts w:ascii="Times New Roman" w:hAnsi="Times New Roman" w:cs="Times New Roman"/>
          <w:noProof/>
          <w:sz w:val="20"/>
          <w:szCs w:val="24"/>
        </w:rPr>
        <w:t>2</w:t>
      </w:r>
      <w:r w:rsidRPr="00895883">
        <w:rPr>
          <w:rFonts w:ascii="Times New Roman" w:hAnsi="Times New Roman" w:cs="Times New Roman"/>
          <w:noProof/>
          <w:sz w:val="20"/>
          <w:szCs w:val="24"/>
        </w:rPr>
        <w:fldChar w:fldCharType="end"/>
      </w:r>
      <w:bookmarkEnd w:id="3"/>
      <w:r w:rsidRPr="00895883">
        <w:rPr>
          <w:rFonts w:ascii="Times New Roman" w:hAnsi="Times New Roman" w:cs="Times New Roman"/>
          <w:sz w:val="20"/>
          <w:szCs w:val="24"/>
        </w:rPr>
        <w:t xml:space="preserve"> Frequency selective precoding using TPMIs of </w:t>
      </w:r>
      <w:r w:rsidR="00F1025E">
        <w:rPr>
          <w:rFonts w:ascii="Times New Roman" w:hAnsi="Times New Roman" w:cs="Times New Roman"/>
          <w:sz w:val="20"/>
          <w:szCs w:val="24"/>
        </w:rPr>
        <w:t xml:space="preserve">uniformly distributed </w:t>
      </w:r>
      <w:r w:rsidRPr="00895883">
        <w:rPr>
          <w:rFonts w:ascii="Times New Roman" w:hAnsi="Times New Roman" w:cs="Times New Roman"/>
          <w:sz w:val="20"/>
          <w:szCs w:val="24"/>
        </w:rPr>
        <w:t>primary subbands</w:t>
      </w:r>
      <w:bookmarkEnd w:id="4"/>
    </w:p>
    <w:p w14:paraId="4B11750E" w14:textId="2C3505FA" w:rsidR="00895883" w:rsidRDefault="00F1025E" w:rsidP="00895883">
      <w:pPr>
        <w:spacing w:after="120" w:line="360" w:lineRule="auto"/>
        <w:jc w:val="center"/>
      </w:pPr>
      <w:r>
        <w:object w:dxaOrig="15871" w:dyaOrig="10471" w14:anchorId="7A8DA73A">
          <v:shape id="_x0000_i1032" type="#_x0000_t75" style="width:338.85pt;height:222.95pt" o:ole="">
            <v:imagedata r:id="rId25" o:title=""/>
          </v:shape>
          <o:OLEObject Type="Embed" ProgID="Visio.Drawing.15" ShapeID="_x0000_i1032" DrawAspect="Content" ObjectID="_1577262171" r:id="rId26"/>
        </w:object>
      </w:r>
    </w:p>
    <w:p w14:paraId="77C48980" w14:textId="634E6104" w:rsidR="00895883" w:rsidRPr="00895883" w:rsidRDefault="00895883" w:rsidP="00895883">
      <w:pPr>
        <w:pStyle w:val="Caption"/>
        <w:rPr>
          <w:rFonts w:ascii="Times New Roman" w:hAnsi="Times New Roman" w:cs="Times New Roman"/>
          <w:b w:val="0"/>
          <w:bCs w:val="0"/>
          <w:iCs/>
          <w:sz w:val="24"/>
          <w:szCs w:val="24"/>
        </w:rPr>
      </w:pPr>
      <w:bookmarkStart w:id="5" w:name="_Ref498001465"/>
      <w:r w:rsidRPr="00895883">
        <w:rPr>
          <w:rFonts w:ascii="Times New Roman" w:hAnsi="Times New Roman" w:cs="Times New Roman"/>
          <w:sz w:val="20"/>
          <w:szCs w:val="24"/>
        </w:rPr>
        <w:t xml:space="preserve">Figure </w:t>
      </w:r>
      <w:r w:rsidRPr="00895883">
        <w:rPr>
          <w:rFonts w:ascii="Times New Roman" w:hAnsi="Times New Roman" w:cs="Times New Roman"/>
          <w:sz w:val="20"/>
          <w:szCs w:val="24"/>
        </w:rPr>
        <w:fldChar w:fldCharType="begin"/>
      </w:r>
      <w:r w:rsidRPr="00895883">
        <w:rPr>
          <w:rFonts w:ascii="Times New Roman" w:hAnsi="Times New Roman" w:cs="Times New Roman"/>
          <w:sz w:val="20"/>
          <w:szCs w:val="24"/>
        </w:rPr>
        <w:instrText xml:space="preserve"> SEQ Figure \* ARABIC \s 1 </w:instrText>
      </w:r>
      <w:r w:rsidRPr="00895883">
        <w:rPr>
          <w:rFonts w:ascii="Times New Roman" w:hAnsi="Times New Roman" w:cs="Times New Roman"/>
          <w:sz w:val="20"/>
          <w:szCs w:val="24"/>
        </w:rPr>
        <w:fldChar w:fldCharType="separate"/>
      </w:r>
      <w:r w:rsidR="00D45AA3">
        <w:rPr>
          <w:rFonts w:ascii="Times New Roman" w:hAnsi="Times New Roman" w:cs="Times New Roman"/>
          <w:noProof/>
          <w:sz w:val="20"/>
          <w:szCs w:val="24"/>
        </w:rPr>
        <w:t>3</w:t>
      </w:r>
      <w:r w:rsidRPr="00895883">
        <w:rPr>
          <w:rFonts w:ascii="Times New Roman" w:hAnsi="Times New Roman" w:cs="Times New Roman"/>
          <w:noProof/>
          <w:sz w:val="20"/>
          <w:szCs w:val="24"/>
        </w:rPr>
        <w:fldChar w:fldCharType="end"/>
      </w:r>
      <w:bookmarkEnd w:id="5"/>
      <w:r w:rsidRPr="00895883">
        <w:rPr>
          <w:rFonts w:ascii="Times New Roman" w:hAnsi="Times New Roman" w:cs="Times New Roman"/>
          <w:sz w:val="20"/>
          <w:szCs w:val="24"/>
        </w:rPr>
        <w:t xml:space="preserve"> Frequency selective precoding using TPMIs of </w:t>
      </w:r>
      <w:r w:rsidR="00F1025E">
        <w:rPr>
          <w:rFonts w:ascii="Times New Roman" w:hAnsi="Times New Roman" w:cs="Times New Roman"/>
          <w:sz w:val="20"/>
          <w:szCs w:val="24"/>
        </w:rPr>
        <w:t xml:space="preserve">non-uniformly distributed </w:t>
      </w:r>
      <w:r w:rsidR="00F1025E" w:rsidRPr="00895883">
        <w:rPr>
          <w:rFonts w:ascii="Times New Roman" w:hAnsi="Times New Roman" w:cs="Times New Roman"/>
          <w:sz w:val="20"/>
          <w:szCs w:val="24"/>
        </w:rPr>
        <w:t>primary subbands</w:t>
      </w: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6C23C5AA" w14:textId="460780F4" w:rsidR="00F1025E" w:rsidRDefault="00F1025E" w:rsidP="00F1025E">
      <w:pPr>
        <w:jc w:val="both"/>
        <w:rPr>
          <w:rFonts w:ascii="Times" w:hAnsi="Times" w:cs="Times"/>
        </w:rPr>
      </w:pPr>
      <w:r>
        <w:rPr>
          <w:rFonts w:ascii="Times" w:hAnsi="Times" w:cs="Times"/>
        </w:rPr>
        <w:t>In the</w:t>
      </w:r>
      <w:r w:rsidRPr="00E56069">
        <w:rPr>
          <w:rFonts w:ascii="Times" w:hAnsi="Times" w:cs="Times"/>
        </w:rPr>
        <w:t xml:space="preserve"> contribution, we provide our views on </w:t>
      </w:r>
      <w:r>
        <w:rPr>
          <w:rFonts w:ascii="Times" w:hAnsi="Times" w:cs="Times"/>
        </w:rPr>
        <w:t xml:space="preserve">TPMI size and </w:t>
      </w:r>
      <w:r w:rsidRPr="00E56069">
        <w:rPr>
          <w:rFonts w:ascii="Times" w:hAnsi="Times" w:cs="Times"/>
        </w:rPr>
        <w:t xml:space="preserve">the </w:t>
      </w:r>
      <w:r>
        <w:rPr>
          <w:rFonts w:ascii="Times" w:hAnsi="Times" w:cs="Times"/>
        </w:rPr>
        <w:t>design of the TPMI indication mechanism for frequency selective UL codebook-based transmission. Based on the presented discussion, following proposals are made:</w:t>
      </w:r>
    </w:p>
    <w:p w14:paraId="1B0CB46A" w14:textId="77777777" w:rsidR="009918A7" w:rsidRPr="009918A7" w:rsidRDefault="009918A7" w:rsidP="009918A7">
      <w:pPr>
        <w:jc w:val="both"/>
        <w:rPr>
          <w:rFonts w:ascii="Times" w:hAnsi="Times" w:cs="Times"/>
          <w:b/>
          <w:i/>
        </w:rPr>
      </w:pPr>
      <w:r w:rsidRPr="009918A7">
        <w:rPr>
          <w:rFonts w:ascii="Times" w:hAnsi="Times" w:cs="Times"/>
          <w:b/>
          <w:i/>
        </w:rPr>
        <w:t>Proposal 1 -</w:t>
      </w:r>
      <w:r>
        <w:rPr>
          <w:rFonts w:ascii="Times" w:hAnsi="Times" w:cs="Times"/>
          <w:b/>
        </w:rPr>
        <w:t xml:space="preserve"> </w:t>
      </w:r>
      <w:r w:rsidRPr="009918A7">
        <w:rPr>
          <w:rFonts w:ascii="Times" w:hAnsi="Times" w:cs="Times"/>
          <w:b/>
          <w:i/>
        </w:rPr>
        <w:t xml:space="preserve">RAN1 clarifies whether TRI is considered in definition of CBSR.  </w:t>
      </w:r>
    </w:p>
    <w:p w14:paraId="16847547" w14:textId="7456FFBF" w:rsidR="009918A7" w:rsidRPr="00D45AA3" w:rsidRDefault="009918A7" w:rsidP="009918A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Pr>
          <w:rFonts w:ascii="Times New Roman" w:hAnsi="Times New Roman" w:cs="Times New Roman"/>
          <w:b/>
          <w:i/>
        </w:rPr>
        <w:t>2</w:t>
      </w:r>
      <w:r w:rsidR="00417136">
        <w:rPr>
          <w:rFonts w:ascii="Times New Roman" w:hAnsi="Times New Roman" w:cs="Times New Roman"/>
          <w:b/>
          <w:i/>
        </w:rPr>
        <w:t xml:space="preserve"> </w:t>
      </w:r>
      <w:r>
        <w:rPr>
          <w:rFonts w:ascii="Times New Roman" w:hAnsi="Times New Roman" w:cs="Times New Roman"/>
          <w:b/>
          <w:i/>
        </w:rPr>
        <w:t xml:space="preserve">- </w:t>
      </w:r>
      <w:r w:rsidRPr="00D45AA3">
        <w:rPr>
          <w:rFonts w:ascii="Times New Roman" w:eastAsia="MS Mincho" w:hAnsi="Times New Roman" w:cs="Times New Roman"/>
          <w:b/>
          <w:i/>
          <w:iCs/>
        </w:rPr>
        <w:t>Subband TPMIs are signaled via DCI to the UE for all PRBs in UL, regardless of the actual RA for a given PUSCH transmission</w:t>
      </w:r>
      <w:r>
        <w:rPr>
          <w:rFonts w:ascii="Times New Roman" w:eastAsia="MS Mincho" w:hAnsi="Times New Roman" w:cs="Times New Roman"/>
          <w:b/>
          <w:i/>
          <w:iCs/>
        </w:rPr>
        <w:t>.</w:t>
      </w:r>
    </w:p>
    <w:p w14:paraId="10354123" w14:textId="77777777" w:rsidR="004A7195" w:rsidRDefault="004A7195" w:rsidP="004A7195">
      <w:pPr>
        <w:overflowPunct w:val="0"/>
        <w:autoSpaceDE w:val="0"/>
        <w:autoSpaceDN w:val="0"/>
        <w:adjustRightInd w:val="0"/>
        <w:spacing w:after="180" w:line="240" w:lineRule="auto"/>
        <w:contextualSpacing/>
        <w:textAlignment w:val="baseline"/>
        <w:rPr>
          <w:rFonts w:ascii="Times New Roman" w:hAnsi="Times New Roman" w:cs="Times New Roman"/>
          <w:b/>
          <w:i/>
        </w:rPr>
      </w:pPr>
    </w:p>
    <w:p w14:paraId="66108CB7" w14:textId="03B9DBE2" w:rsidR="004A7195" w:rsidRPr="00D45AA3" w:rsidRDefault="004A7195" w:rsidP="004A7195">
      <w:pPr>
        <w:overflowPunct w:val="0"/>
        <w:autoSpaceDE w:val="0"/>
        <w:autoSpaceDN w:val="0"/>
        <w:adjustRightInd w:val="0"/>
        <w:spacing w:after="180" w:line="240" w:lineRule="auto"/>
        <w:contextualSpacing/>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sidR="009918A7">
        <w:rPr>
          <w:rFonts w:ascii="Times New Roman" w:hAnsi="Times New Roman" w:cs="Times New Roman"/>
          <w:b/>
          <w:i/>
        </w:rPr>
        <w:t>3</w:t>
      </w:r>
      <w:r w:rsidRPr="00D45AA3">
        <w:rPr>
          <w:rFonts w:ascii="Times New Roman" w:hAnsi="Times New Roman" w:cs="Times New Roman"/>
          <w:b/>
          <w:i/>
        </w:rPr>
        <w:t xml:space="preserve"> </w:t>
      </w:r>
      <w:r w:rsidR="009918A7">
        <w:rPr>
          <w:rFonts w:ascii="Times New Roman" w:hAnsi="Times New Roman" w:cs="Times New Roman"/>
          <w:b/>
          <w:i/>
        </w:rPr>
        <w:t xml:space="preserve">- </w:t>
      </w:r>
      <w:r>
        <w:rPr>
          <w:rFonts w:ascii="Times New Roman" w:hAnsi="Times New Roman" w:cs="Times New Roman"/>
          <w:b/>
          <w:i/>
        </w:rPr>
        <w:t>F</w:t>
      </w:r>
      <w:r w:rsidRPr="00342210">
        <w:rPr>
          <w:rFonts w:ascii="Times New Roman" w:eastAsia="MS Mincho" w:hAnsi="Times New Roman" w:cs="Times New Roman"/>
          <w:b/>
          <w:i/>
          <w:iCs/>
        </w:rPr>
        <w:t>or a given size of the bandwidth part, a UE should be configured to have a fixed number of TPMIs (</w:t>
      </w:r>
      <m:oMath>
        <m:sSub>
          <m:sSubPr>
            <m:ctrlPr>
              <w:rPr>
                <w:rFonts w:ascii="Cambria Math" w:eastAsia="MS Mincho" w:hAnsi="Cambria Math" w:cs="Times New Roman"/>
                <w:b/>
                <w:i/>
                <w:iCs/>
              </w:rPr>
            </m:ctrlPr>
          </m:sSubPr>
          <m:e>
            <m:r>
              <m:rPr>
                <m:sty m:val="bi"/>
              </m:rPr>
              <w:rPr>
                <w:rFonts w:ascii="Cambria Math" w:eastAsia="MS Mincho" w:hAnsi="Cambria Math" w:cs="Times New Roman"/>
              </w:rPr>
              <m:t>N</m:t>
            </m:r>
          </m:e>
          <m:sub>
            <m:r>
              <m:rPr>
                <m:sty m:val="bi"/>
              </m:rPr>
              <w:rPr>
                <w:rFonts w:ascii="Cambria Math" w:eastAsia="MS Mincho" w:hAnsi="Cambria Math" w:cs="Times New Roman"/>
              </w:rPr>
              <m:t>TPMI</m:t>
            </m:r>
          </m:sub>
        </m:sSub>
      </m:oMath>
      <w:r w:rsidRPr="00342210">
        <w:rPr>
          <w:rFonts w:ascii="Times New Roman" w:eastAsia="MS Mincho" w:hAnsi="Times New Roman" w:cs="Times New Roman"/>
          <w:b/>
          <w:i/>
          <w:iCs/>
        </w:rPr>
        <w:t>)</w:t>
      </w:r>
      <w:r>
        <w:rPr>
          <w:rFonts w:ascii="Times New Roman" w:eastAsia="MS Mincho" w:hAnsi="Times New Roman" w:cs="Times New Roman"/>
          <w:b/>
          <w:i/>
          <w:iCs/>
        </w:rPr>
        <w:t>.</w:t>
      </w:r>
    </w:p>
    <w:p w14:paraId="27D5C1F2" w14:textId="77777777" w:rsidR="002068C1" w:rsidRDefault="002068C1" w:rsidP="002068C1">
      <w:pPr>
        <w:overflowPunct w:val="0"/>
        <w:autoSpaceDE w:val="0"/>
        <w:autoSpaceDN w:val="0"/>
        <w:adjustRightInd w:val="0"/>
        <w:spacing w:after="180" w:line="240" w:lineRule="auto"/>
        <w:contextualSpacing/>
        <w:textAlignment w:val="baseline"/>
        <w:rPr>
          <w:rFonts w:ascii="Times New Roman" w:hAnsi="Times New Roman" w:cs="Times New Roman"/>
          <w:b/>
          <w:i/>
        </w:rPr>
      </w:pPr>
    </w:p>
    <w:p w14:paraId="286F4FF3" w14:textId="7A74A8AA" w:rsidR="002068C1" w:rsidRPr="00D45AA3" w:rsidRDefault="002068C1" w:rsidP="002068C1">
      <w:pPr>
        <w:overflowPunct w:val="0"/>
        <w:autoSpaceDE w:val="0"/>
        <w:autoSpaceDN w:val="0"/>
        <w:adjustRightInd w:val="0"/>
        <w:spacing w:after="180" w:line="240" w:lineRule="auto"/>
        <w:contextualSpacing/>
        <w:textAlignment w:val="baseline"/>
        <w:rPr>
          <w:rFonts w:ascii="Times New Roman" w:eastAsia="MS Mincho" w:hAnsi="Times New Roman" w:cs="Times New Roman"/>
          <w:b/>
          <w:i/>
          <w:iCs/>
        </w:rPr>
      </w:pPr>
      <w:r w:rsidRPr="00D45AA3">
        <w:rPr>
          <w:rFonts w:ascii="Times New Roman" w:hAnsi="Times New Roman" w:cs="Times New Roman"/>
          <w:b/>
          <w:i/>
        </w:rPr>
        <w:t xml:space="preserve">Proposal </w:t>
      </w:r>
      <w:r w:rsidR="009918A7">
        <w:rPr>
          <w:rFonts w:ascii="Times New Roman" w:hAnsi="Times New Roman" w:cs="Times New Roman"/>
          <w:b/>
          <w:i/>
        </w:rPr>
        <w:t>4</w:t>
      </w:r>
      <w:r w:rsidRPr="00D45AA3">
        <w:rPr>
          <w:rFonts w:ascii="Times New Roman" w:hAnsi="Times New Roman" w:cs="Times New Roman"/>
          <w:b/>
          <w:i/>
        </w:rPr>
        <w:t xml:space="preserve"> </w:t>
      </w:r>
      <w:r w:rsidR="009918A7">
        <w:rPr>
          <w:rFonts w:ascii="Times New Roman" w:hAnsi="Times New Roman" w:cs="Times New Roman"/>
          <w:b/>
          <w:i/>
        </w:rPr>
        <w:t xml:space="preserve">- </w:t>
      </w:r>
      <w:r>
        <w:rPr>
          <w:rFonts w:ascii="Times New Roman" w:hAnsi="Times New Roman" w:cs="Times New Roman"/>
          <w:b/>
          <w:i/>
        </w:rPr>
        <w:t xml:space="preserve">Re-use TPMIs of primary subbands for </w:t>
      </w:r>
      <w:r w:rsidR="005A1519">
        <w:rPr>
          <w:rFonts w:ascii="Times New Roman" w:hAnsi="Times New Roman" w:cs="Times New Roman"/>
          <w:b/>
          <w:i/>
        </w:rPr>
        <w:t>precoding</w:t>
      </w:r>
      <w:r>
        <w:rPr>
          <w:rFonts w:ascii="Times New Roman" w:hAnsi="Times New Roman" w:cs="Times New Roman"/>
          <w:b/>
          <w:i/>
        </w:rPr>
        <w:t xml:space="preserve"> of their closest subbands. </w:t>
      </w:r>
    </w:p>
    <w:p w14:paraId="633FFA39" w14:textId="77777777" w:rsidR="002068C1" w:rsidRDefault="002068C1" w:rsidP="00F1025E">
      <w:pPr>
        <w:jc w:val="both"/>
        <w:rPr>
          <w:rFonts w:ascii="Times" w:hAnsi="Times" w:cs="Times"/>
        </w:rPr>
      </w:pPr>
    </w:p>
    <w:p w14:paraId="0EF7466D" w14:textId="77777777" w:rsidR="00251B4A" w:rsidRPr="00077CF3" w:rsidRDefault="00251B4A" w:rsidP="006A0010">
      <w:pPr>
        <w:pStyle w:val="Heading1"/>
        <w:numPr>
          <w:ilvl w:val="0"/>
          <w:numId w:val="0"/>
        </w:numPr>
        <w:ind w:left="432" w:hanging="432"/>
        <w:jc w:val="both"/>
        <w:rPr>
          <w:sz w:val="32"/>
          <w:lang w:val="en-US"/>
        </w:rPr>
      </w:pPr>
      <w:bookmarkStart w:id="6" w:name="_GoBack"/>
      <w:bookmarkEnd w:id="6"/>
      <w:r w:rsidRPr="00077CF3">
        <w:rPr>
          <w:sz w:val="32"/>
          <w:lang w:val="en-US"/>
        </w:rPr>
        <w:t>References</w:t>
      </w:r>
    </w:p>
    <w:p w14:paraId="5D062D39" w14:textId="1A81AC69" w:rsidR="00C771D9" w:rsidRPr="00775D8A" w:rsidRDefault="00C771D9" w:rsidP="00C771D9">
      <w:pPr>
        <w:pStyle w:val="Reference"/>
        <w:rPr>
          <w:rFonts w:ascii="Times" w:hAnsi="Times" w:cs="Times"/>
        </w:rPr>
      </w:pPr>
      <w:bookmarkStart w:id="7" w:name="_Ref478127360"/>
      <w:r w:rsidRPr="00775D8A">
        <w:rPr>
          <w:rFonts w:ascii="Times" w:hAnsi="Times" w:cs="Times"/>
        </w:rPr>
        <w:t xml:space="preserve">Chairman’s Notes, 3GPP TSG RAN WG1 Meeting </w:t>
      </w:r>
      <w:r w:rsidR="00F1025E">
        <w:rPr>
          <w:rFonts w:ascii="Times" w:hAnsi="Times" w:cs="Times"/>
        </w:rPr>
        <w:t>#9</w:t>
      </w:r>
      <w:r w:rsidR="00326BAE">
        <w:rPr>
          <w:rFonts w:ascii="Times" w:hAnsi="Times" w:cs="Times"/>
        </w:rPr>
        <w:t>1</w:t>
      </w:r>
      <w:r w:rsidRPr="00775D8A">
        <w:rPr>
          <w:rFonts w:ascii="Times" w:hAnsi="Times" w:cs="Times"/>
        </w:rPr>
        <w:t xml:space="preserve">, </w:t>
      </w:r>
      <w:r w:rsidR="00326BAE">
        <w:rPr>
          <w:rFonts w:ascii="Times" w:hAnsi="Times" w:cs="Times"/>
        </w:rPr>
        <w:t>Reno</w:t>
      </w:r>
      <w:r w:rsidR="00F1025E">
        <w:rPr>
          <w:rFonts w:ascii="Times" w:hAnsi="Times" w:cs="Times"/>
        </w:rPr>
        <w:t xml:space="preserve">, </w:t>
      </w:r>
      <w:r w:rsidR="00326BAE">
        <w:rPr>
          <w:rFonts w:ascii="Times" w:hAnsi="Times" w:cs="Times"/>
        </w:rPr>
        <w:t>USA</w:t>
      </w:r>
      <w:r w:rsidR="004A7195">
        <w:rPr>
          <w:rFonts w:ascii="Times" w:hAnsi="Times" w:cs="Times"/>
        </w:rPr>
        <w:t xml:space="preserve">, </w:t>
      </w:r>
      <w:r w:rsidR="00326BAE">
        <w:rPr>
          <w:rFonts w:ascii="Times" w:hAnsi="Times" w:cs="Times"/>
        </w:rPr>
        <w:t>November</w:t>
      </w:r>
      <w:r w:rsidRPr="00775D8A">
        <w:rPr>
          <w:rFonts w:ascii="Times" w:hAnsi="Times" w:cs="Times"/>
        </w:rPr>
        <w:t xml:space="preserve"> 2017</w:t>
      </w:r>
    </w:p>
    <w:p w14:paraId="30EA32AC" w14:textId="4268714A" w:rsidR="00775D8A" w:rsidRDefault="00775D8A" w:rsidP="00775D8A">
      <w:pPr>
        <w:pStyle w:val="Reference"/>
        <w:rPr>
          <w:rFonts w:ascii="Times" w:hAnsi="Times" w:cs="Times"/>
        </w:rPr>
      </w:pPr>
      <w:r w:rsidRPr="00775D8A">
        <w:rPr>
          <w:rFonts w:ascii="Times" w:hAnsi="Times" w:cs="Times"/>
        </w:rPr>
        <w:t xml:space="preserve">Chairman’s Notes, 3GPP TSG RAN WG1 Meeting </w:t>
      </w:r>
      <w:r w:rsidR="009F64E1">
        <w:rPr>
          <w:rFonts w:ascii="Times" w:hAnsi="Times" w:cs="Times"/>
        </w:rPr>
        <w:t>#88</w:t>
      </w:r>
      <w:r w:rsidR="003A3896">
        <w:rPr>
          <w:rFonts w:ascii="Times" w:hAnsi="Times" w:cs="Times"/>
        </w:rPr>
        <w:t>b</w:t>
      </w:r>
      <w:r w:rsidRPr="00775D8A">
        <w:rPr>
          <w:rFonts w:ascii="Times" w:hAnsi="Times" w:cs="Times"/>
        </w:rPr>
        <w:t xml:space="preserve">, </w:t>
      </w:r>
      <w:r w:rsidR="003A3896">
        <w:rPr>
          <w:rFonts w:ascii="Times" w:hAnsi="Times" w:cs="Times"/>
        </w:rPr>
        <w:t>Spokane, USA</w:t>
      </w:r>
      <w:r w:rsidR="009F64E1">
        <w:rPr>
          <w:rFonts w:ascii="Times" w:hAnsi="Times" w:cs="Times"/>
        </w:rPr>
        <w:t xml:space="preserve">, </w:t>
      </w:r>
      <w:r w:rsidR="003A3896">
        <w:rPr>
          <w:rFonts w:ascii="Times" w:hAnsi="Times" w:cs="Times"/>
        </w:rPr>
        <w:t>April</w:t>
      </w:r>
      <w:r w:rsidRPr="00775D8A">
        <w:rPr>
          <w:rFonts w:ascii="Times" w:hAnsi="Times" w:cs="Times"/>
        </w:rPr>
        <w:t xml:space="preserve"> 2017</w:t>
      </w:r>
      <w:bookmarkEnd w:id="7"/>
    </w:p>
    <w:sectPr w:rsidR="00775D8A" w:rsidSect="00D55085">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54CDB" w14:textId="77777777" w:rsidR="00853537" w:rsidRDefault="00853537">
      <w:r>
        <w:separator/>
      </w:r>
    </w:p>
  </w:endnote>
  <w:endnote w:type="continuationSeparator" w:id="0">
    <w:p w14:paraId="06D7DF69" w14:textId="77777777" w:rsidR="00853537" w:rsidRDefault="00853537">
      <w:r>
        <w:continuationSeparator/>
      </w:r>
    </w:p>
  </w:endnote>
  <w:endnote w:type="continuationNotice" w:id="1">
    <w:p w14:paraId="4C7E9628" w14:textId="77777777" w:rsidR="00853537" w:rsidRDefault="00853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EC58" w14:textId="77777777" w:rsidR="00545415" w:rsidRDefault="00545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8CB5E" w14:textId="77777777" w:rsidR="00545415" w:rsidRDefault="005454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78377" w14:textId="77777777" w:rsidR="00545415" w:rsidRDefault="00545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2854" w14:textId="77777777" w:rsidR="00853537" w:rsidRDefault="00853537">
      <w:r>
        <w:separator/>
      </w:r>
    </w:p>
  </w:footnote>
  <w:footnote w:type="continuationSeparator" w:id="0">
    <w:p w14:paraId="513F1CC4" w14:textId="77777777" w:rsidR="00853537" w:rsidRDefault="00853537">
      <w:r>
        <w:continuationSeparator/>
      </w:r>
    </w:p>
  </w:footnote>
  <w:footnote w:type="continuationNotice" w:id="1">
    <w:p w14:paraId="05DA543D" w14:textId="77777777" w:rsidR="00853537" w:rsidRDefault="00853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6E9E0" w14:textId="77777777" w:rsidR="00545415" w:rsidRDefault="00545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CEF2D" w14:textId="77777777" w:rsidR="00545415" w:rsidRDefault="00545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85B2C" w14:textId="77777777" w:rsidR="00545415" w:rsidRDefault="0054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C71C25BC"/>
    <w:lvl w:ilvl="0" w:tplc="81842D70">
      <w:start w:val="1"/>
      <w:numFmt w:val="bullet"/>
      <w:lvlText w:val="›"/>
      <w:lvlJc w:val="left"/>
      <w:pPr>
        <w:tabs>
          <w:tab w:val="num" w:pos="720"/>
        </w:tabs>
        <w:ind w:left="720" w:hanging="360"/>
      </w:pPr>
      <w:rPr>
        <w:rFonts w:ascii="Arial" w:hAnsi="Arial" w:hint="default"/>
      </w:rPr>
    </w:lvl>
    <w:lvl w:ilvl="1" w:tplc="B66E1990">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0D2331B9"/>
    <w:multiLevelType w:val="hybridMultilevel"/>
    <w:tmpl w:val="8B642454"/>
    <w:lvl w:ilvl="0" w:tplc="81842D70">
      <w:start w:val="1"/>
      <w:numFmt w:val="bullet"/>
      <w:lvlText w:val="›"/>
      <w:lvlJc w:val="left"/>
      <w:pPr>
        <w:ind w:left="927" w:hanging="360"/>
      </w:pPr>
      <w:rPr>
        <w:rFonts w:ascii="Arial" w:hAnsi="Arial" w:hint="default"/>
      </w:rPr>
    </w:lvl>
    <w:lvl w:ilvl="1" w:tplc="6FDE2DBC">
      <w:start w:val="1267"/>
      <w:numFmt w:val="bullet"/>
      <w:lvlText w:val="–"/>
      <w:lvlJc w:val="left"/>
      <w:pPr>
        <w:ind w:left="1647" w:hanging="360"/>
      </w:pPr>
      <w:rPr>
        <w:rFonts w:ascii="Arial" w:hAnsi="Arial"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5" w15:restartNumberingAfterBreak="0">
    <w:nsid w:val="0E0F09A1"/>
    <w:multiLevelType w:val="hybridMultilevel"/>
    <w:tmpl w:val="5022ABAA"/>
    <w:lvl w:ilvl="0" w:tplc="B66E199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C4008"/>
    <w:multiLevelType w:val="hybridMultilevel"/>
    <w:tmpl w:val="03E23902"/>
    <w:lvl w:ilvl="0" w:tplc="81842D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55026"/>
    <w:multiLevelType w:val="hybridMultilevel"/>
    <w:tmpl w:val="8926DC88"/>
    <w:lvl w:ilvl="0" w:tplc="9E56B76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E6BED"/>
    <w:multiLevelType w:val="hybridMultilevel"/>
    <w:tmpl w:val="19CAE3C4"/>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E870B222">
      <w:start w:val="1"/>
      <w:numFmt w:val="bullet"/>
      <w:lvlText w:val="•"/>
      <w:lvlJc w:val="left"/>
      <w:pPr>
        <w:tabs>
          <w:tab w:val="num" w:pos="2160"/>
        </w:tabs>
        <w:ind w:left="2160" w:hanging="360"/>
      </w:pPr>
      <w:rPr>
        <w:rFonts w:ascii="Arial" w:hAnsi="Arial"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24"/>
        </w:tabs>
        <w:ind w:left="122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42667"/>
    <w:multiLevelType w:val="hybridMultilevel"/>
    <w:tmpl w:val="DFEAC1C2"/>
    <w:lvl w:ilvl="0" w:tplc="81842D70">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4"/>
  </w:num>
  <w:num w:numId="7">
    <w:abstractNumId w:val="17"/>
  </w:num>
  <w:num w:numId="8">
    <w:abstractNumId w:val="10"/>
  </w:num>
  <w:num w:numId="9">
    <w:abstractNumId w:val="20"/>
  </w:num>
  <w:num w:numId="10">
    <w:abstractNumId w:val="7"/>
  </w:num>
  <w:num w:numId="11">
    <w:abstractNumId w:val="3"/>
  </w:num>
  <w:num w:numId="12">
    <w:abstractNumId w:val="2"/>
  </w:num>
  <w:num w:numId="13">
    <w:abstractNumId w:val="19"/>
  </w:num>
  <w:num w:numId="14">
    <w:abstractNumId w:val="11"/>
  </w:num>
  <w:num w:numId="15">
    <w:abstractNumId w:val="4"/>
  </w:num>
  <w:num w:numId="16">
    <w:abstractNumId w:val="6"/>
  </w:num>
  <w:num w:numId="17">
    <w:abstractNumId w:val="5"/>
  </w:num>
  <w:num w:numId="18">
    <w:abstractNumId w:val="15"/>
  </w:num>
  <w:num w:numId="19">
    <w:abstractNumId w:val="1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5DC"/>
    <w:rsid w:val="0001694D"/>
    <w:rsid w:val="00020303"/>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12F"/>
    <w:rsid w:val="000325B8"/>
    <w:rsid w:val="00033351"/>
    <w:rsid w:val="0003410A"/>
    <w:rsid w:val="000342A1"/>
    <w:rsid w:val="00034C15"/>
    <w:rsid w:val="00035EA8"/>
    <w:rsid w:val="00035F74"/>
    <w:rsid w:val="0003695D"/>
    <w:rsid w:val="00036BA1"/>
    <w:rsid w:val="000405A0"/>
    <w:rsid w:val="00040B78"/>
    <w:rsid w:val="0004149C"/>
    <w:rsid w:val="000422E2"/>
    <w:rsid w:val="0004245F"/>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0EA"/>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2C54"/>
    <w:rsid w:val="0007415D"/>
    <w:rsid w:val="00074F35"/>
    <w:rsid w:val="00075131"/>
    <w:rsid w:val="00075BF1"/>
    <w:rsid w:val="0007747C"/>
    <w:rsid w:val="0007787A"/>
    <w:rsid w:val="00077A1C"/>
    <w:rsid w:val="00077A5E"/>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6CCB"/>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D64"/>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768"/>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61B"/>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E89"/>
    <w:rsid w:val="00125448"/>
    <w:rsid w:val="00125B92"/>
    <w:rsid w:val="00125D8C"/>
    <w:rsid w:val="00125FDB"/>
    <w:rsid w:val="00126305"/>
    <w:rsid w:val="00126B4A"/>
    <w:rsid w:val="00127020"/>
    <w:rsid w:val="00127D88"/>
    <w:rsid w:val="0013192D"/>
    <w:rsid w:val="00131BE1"/>
    <w:rsid w:val="00131BF9"/>
    <w:rsid w:val="00131D40"/>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E0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CA"/>
    <w:rsid w:val="0019718A"/>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A7C0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D7AC6"/>
    <w:rsid w:val="001E018C"/>
    <w:rsid w:val="001E0427"/>
    <w:rsid w:val="001E0B68"/>
    <w:rsid w:val="001E217E"/>
    <w:rsid w:val="001E23E4"/>
    <w:rsid w:val="001E2AD7"/>
    <w:rsid w:val="001E3511"/>
    <w:rsid w:val="001E3F06"/>
    <w:rsid w:val="001E4032"/>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8C1"/>
    <w:rsid w:val="002069B2"/>
    <w:rsid w:val="00207FA3"/>
    <w:rsid w:val="002111FD"/>
    <w:rsid w:val="00212584"/>
    <w:rsid w:val="00212596"/>
    <w:rsid w:val="00212D1B"/>
    <w:rsid w:val="00212D2F"/>
    <w:rsid w:val="0021336E"/>
    <w:rsid w:val="00214DA8"/>
    <w:rsid w:val="0021529E"/>
    <w:rsid w:val="00215423"/>
    <w:rsid w:val="002158FA"/>
    <w:rsid w:val="00215991"/>
    <w:rsid w:val="00215D3F"/>
    <w:rsid w:val="00215F14"/>
    <w:rsid w:val="002160C0"/>
    <w:rsid w:val="00216742"/>
    <w:rsid w:val="00216F9A"/>
    <w:rsid w:val="00217082"/>
    <w:rsid w:val="00217640"/>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272"/>
    <w:rsid w:val="00245766"/>
    <w:rsid w:val="0024585C"/>
    <w:rsid w:val="002458EB"/>
    <w:rsid w:val="002462D0"/>
    <w:rsid w:val="002462DC"/>
    <w:rsid w:val="00246594"/>
    <w:rsid w:val="002468B7"/>
    <w:rsid w:val="0024699A"/>
    <w:rsid w:val="00246B0C"/>
    <w:rsid w:val="0024729C"/>
    <w:rsid w:val="002502F9"/>
    <w:rsid w:val="00251316"/>
    <w:rsid w:val="00251615"/>
    <w:rsid w:val="002518B0"/>
    <w:rsid w:val="00251B4A"/>
    <w:rsid w:val="00251DE3"/>
    <w:rsid w:val="0025243C"/>
    <w:rsid w:val="002536A0"/>
    <w:rsid w:val="00253EBF"/>
    <w:rsid w:val="00254C30"/>
    <w:rsid w:val="0025555E"/>
    <w:rsid w:val="0025587B"/>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38D"/>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AF4"/>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C7"/>
    <w:rsid w:val="002A6FF8"/>
    <w:rsid w:val="002A7683"/>
    <w:rsid w:val="002B0459"/>
    <w:rsid w:val="002B24D6"/>
    <w:rsid w:val="002B2C00"/>
    <w:rsid w:val="002B39C6"/>
    <w:rsid w:val="002B3A7C"/>
    <w:rsid w:val="002B3B0D"/>
    <w:rsid w:val="002B3FE9"/>
    <w:rsid w:val="002B4241"/>
    <w:rsid w:val="002B6D00"/>
    <w:rsid w:val="002B6FA2"/>
    <w:rsid w:val="002B77BF"/>
    <w:rsid w:val="002C0976"/>
    <w:rsid w:val="002C1174"/>
    <w:rsid w:val="002C151A"/>
    <w:rsid w:val="002C1F5F"/>
    <w:rsid w:val="002C2357"/>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5899"/>
    <w:rsid w:val="002E5D49"/>
    <w:rsid w:val="002E659A"/>
    <w:rsid w:val="002E689B"/>
    <w:rsid w:val="002E7003"/>
    <w:rsid w:val="002E7CAE"/>
    <w:rsid w:val="002E7F8F"/>
    <w:rsid w:val="002F01A0"/>
    <w:rsid w:val="002F07A4"/>
    <w:rsid w:val="002F15C3"/>
    <w:rsid w:val="002F2771"/>
    <w:rsid w:val="002F2F73"/>
    <w:rsid w:val="002F37A9"/>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691"/>
    <w:rsid w:val="00305A12"/>
    <w:rsid w:val="00306487"/>
    <w:rsid w:val="0030704D"/>
    <w:rsid w:val="00307A45"/>
    <w:rsid w:val="00307BA1"/>
    <w:rsid w:val="00311702"/>
    <w:rsid w:val="00311E82"/>
    <w:rsid w:val="003124BA"/>
    <w:rsid w:val="00312C0A"/>
    <w:rsid w:val="00313FD6"/>
    <w:rsid w:val="003143BD"/>
    <w:rsid w:val="003153C1"/>
    <w:rsid w:val="00317459"/>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26BAE"/>
    <w:rsid w:val="0033038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A8"/>
    <w:rsid w:val="00342210"/>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2DCE"/>
    <w:rsid w:val="00353341"/>
    <w:rsid w:val="00354F66"/>
    <w:rsid w:val="0035511B"/>
    <w:rsid w:val="00356081"/>
    <w:rsid w:val="00357380"/>
    <w:rsid w:val="00360259"/>
    <w:rsid w:val="003602D9"/>
    <w:rsid w:val="00361261"/>
    <w:rsid w:val="003616AD"/>
    <w:rsid w:val="00361CBE"/>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0C0"/>
    <w:rsid w:val="0037673C"/>
    <w:rsid w:val="003768AA"/>
    <w:rsid w:val="00376B0A"/>
    <w:rsid w:val="0037719F"/>
    <w:rsid w:val="00377CE1"/>
    <w:rsid w:val="00377EF4"/>
    <w:rsid w:val="00380D7D"/>
    <w:rsid w:val="00380FE0"/>
    <w:rsid w:val="0038102E"/>
    <w:rsid w:val="003821E2"/>
    <w:rsid w:val="00383467"/>
    <w:rsid w:val="00384177"/>
    <w:rsid w:val="00384284"/>
    <w:rsid w:val="00385770"/>
    <w:rsid w:val="00385932"/>
    <w:rsid w:val="003859C1"/>
    <w:rsid w:val="00385BF0"/>
    <w:rsid w:val="003861C1"/>
    <w:rsid w:val="00386578"/>
    <w:rsid w:val="00386747"/>
    <w:rsid w:val="00387E0D"/>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896"/>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080"/>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E79"/>
    <w:rsid w:val="003D109F"/>
    <w:rsid w:val="003D2478"/>
    <w:rsid w:val="003D41C3"/>
    <w:rsid w:val="003D4835"/>
    <w:rsid w:val="003D566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379C"/>
    <w:rsid w:val="003F4036"/>
    <w:rsid w:val="003F4114"/>
    <w:rsid w:val="003F4A38"/>
    <w:rsid w:val="003F4A65"/>
    <w:rsid w:val="003F508C"/>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15C"/>
    <w:rsid w:val="0041258E"/>
    <w:rsid w:val="0041263E"/>
    <w:rsid w:val="0041384A"/>
    <w:rsid w:val="00413AAC"/>
    <w:rsid w:val="00414AB1"/>
    <w:rsid w:val="00414C64"/>
    <w:rsid w:val="00415E8A"/>
    <w:rsid w:val="00416DDF"/>
    <w:rsid w:val="00416EC3"/>
    <w:rsid w:val="00417136"/>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690"/>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55BB"/>
    <w:rsid w:val="004661B2"/>
    <w:rsid w:val="004669E2"/>
    <w:rsid w:val="00466F5E"/>
    <w:rsid w:val="00466FFC"/>
    <w:rsid w:val="00470334"/>
    <w:rsid w:val="00470B4B"/>
    <w:rsid w:val="00470C2E"/>
    <w:rsid w:val="00470C31"/>
    <w:rsid w:val="0047271B"/>
    <w:rsid w:val="00472954"/>
    <w:rsid w:val="00472CF7"/>
    <w:rsid w:val="00472FB6"/>
    <w:rsid w:val="004734D0"/>
    <w:rsid w:val="00473BE8"/>
    <w:rsid w:val="00473DCE"/>
    <w:rsid w:val="0047400F"/>
    <w:rsid w:val="00474867"/>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375C"/>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195"/>
    <w:rsid w:val="004A7D0F"/>
    <w:rsid w:val="004B0802"/>
    <w:rsid w:val="004B0840"/>
    <w:rsid w:val="004B0924"/>
    <w:rsid w:val="004B09DB"/>
    <w:rsid w:val="004B0BE0"/>
    <w:rsid w:val="004B1049"/>
    <w:rsid w:val="004B1CFE"/>
    <w:rsid w:val="004B1DB8"/>
    <w:rsid w:val="004B2532"/>
    <w:rsid w:val="004B2CB7"/>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B35"/>
    <w:rsid w:val="004C3C55"/>
    <w:rsid w:val="004C4662"/>
    <w:rsid w:val="004C4F5B"/>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288"/>
    <w:rsid w:val="004F3760"/>
    <w:rsid w:val="004F41F3"/>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3F54"/>
    <w:rsid w:val="00514531"/>
    <w:rsid w:val="005146A4"/>
    <w:rsid w:val="005153A7"/>
    <w:rsid w:val="00517EA6"/>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C62"/>
    <w:rsid w:val="00537DB8"/>
    <w:rsid w:val="005408C3"/>
    <w:rsid w:val="00541033"/>
    <w:rsid w:val="00542061"/>
    <w:rsid w:val="0054206F"/>
    <w:rsid w:val="00542D12"/>
    <w:rsid w:val="00543B3A"/>
    <w:rsid w:val="00543E1E"/>
    <w:rsid w:val="00544AC8"/>
    <w:rsid w:val="00545011"/>
    <w:rsid w:val="00545415"/>
    <w:rsid w:val="0054634A"/>
    <w:rsid w:val="005464E2"/>
    <w:rsid w:val="005464F6"/>
    <w:rsid w:val="005465A6"/>
    <w:rsid w:val="00546970"/>
    <w:rsid w:val="00546D33"/>
    <w:rsid w:val="00546F3E"/>
    <w:rsid w:val="00547601"/>
    <w:rsid w:val="00547FF5"/>
    <w:rsid w:val="00551810"/>
    <w:rsid w:val="00554164"/>
    <w:rsid w:val="0055446D"/>
    <w:rsid w:val="00554D8B"/>
    <w:rsid w:val="00554E19"/>
    <w:rsid w:val="00555020"/>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6996"/>
    <w:rsid w:val="0057762F"/>
    <w:rsid w:val="0058172D"/>
    <w:rsid w:val="005817C9"/>
    <w:rsid w:val="00582561"/>
    <w:rsid w:val="00582809"/>
    <w:rsid w:val="00583F8C"/>
    <w:rsid w:val="00585C6A"/>
    <w:rsid w:val="00586023"/>
    <w:rsid w:val="0058638E"/>
    <w:rsid w:val="00586451"/>
    <w:rsid w:val="0058735A"/>
    <w:rsid w:val="0058798C"/>
    <w:rsid w:val="005900FA"/>
    <w:rsid w:val="00590A17"/>
    <w:rsid w:val="00590AE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519"/>
    <w:rsid w:val="005A16A8"/>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D1C"/>
    <w:rsid w:val="005B0E9B"/>
    <w:rsid w:val="005B0EED"/>
    <w:rsid w:val="005B313C"/>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62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1C8"/>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125"/>
    <w:rsid w:val="00611209"/>
    <w:rsid w:val="00611AB9"/>
    <w:rsid w:val="00611FDB"/>
    <w:rsid w:val="00613257"/>
    <w:rsid w:val="00614994"/>
    <w:rsid w:val="006151D2"/>
    <w:rsid w:val="00615318"/>
    <w:rsid w:val="00616D03"/>
    <w:rsid w:val="006207AB"/>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09C7"/>
    <w:rsid w:val="006311B3"/>
    <w:rsid w:val="00631616"/>
    <w:rsid w:val="00631957"/>
    <w:rsid w:val="00631AA5"/>
    <w:rsid w:val="00632043"/>
    <w:rsid w:val="0063284C"/>
    <w:rsid w:val="00632BD0"/>
    <w:rsid w:val="00633697"/>
    <w:rsid w:val="0063405B"/>
    <w:rsid w:val="00634BF5"/>
    <w:rsid w:val="00634EEA"/>
    <w:rsid w:val="006362D2"/>
    <w:rsid w:val="00636398"/>
    <w:rsid w:val="0063672F"/>
    <w:rsid w:val="006367D3"/>
    <w:rsid w:val="006368D3"/>
    <w:rsid w:val="006369E9"/>
    <w:rsid w:val="00636CDD"/>
    <w:rsid w:val="006377EC"/>
    <w:rsid w:val="00640E32"/>
    <w:rsid w:val="00640F0A"/>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2BBB"/>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697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6DB0"/>
    <w:rsid w:val="00697052"/>
    <w:rsid w:val="00697530"/>
    <w:rsid w:val="00697F2A"/>
    <w:rsid w:val="006A0010"/>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5A8"/>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D3F"/>
    <w:rsid w:val="006F0E91"/>
    <w:rsid w:val="006F1B70"/>
    <w:rsid w:val="006F2504"/>
    <w:rsid w:val="006F341D"/>
    <w:rsid w:val="006F3B3A"/>
    <w:rsid w:val="006F4217"/>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239"/>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18CA"/>
    <w:rsid w:val="00711D31"/>
    <w:rsid w:val="00712287"/>
    <w:rsid w:val="007125AE"/>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2E4"/>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1"/>
    <w:rsid w:val="00741368"/>
    <w:rsid w:val="00741429"/>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6A6"/>
    <w:rsid w:val="00763B30"/>
    <w:rsid w:val="00764724"/>
    <w:rsid w:val="007649C3"/>
    <w:rsid w:val="0076501F"/>
    <w:rsid w:val="00765281"/>
    <w:rsid w:val="00765F2E"/>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7E5"/>
    <w:rsid w:val="007B2942"/>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169A"/>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688"/>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2BF"/>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6F8A"/>
    <w:rsid w:val="008376AC"/>
    <w:rsid w:val="0083778B"/>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3537"/>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538"/>
    <w:rsid w:val="008907CA"/>
    <w:rsid w:val="00891245"/>
    <w:rsid w:val="008913FE"/>
    <w:rsid w:val="00891DA1"/>
    <w:rsid w:val="00892CFF"/>
    <w:rsid w:val="0089347C"/>
    <w:rsid w:val="008947E4"/>
    <w:rsid w:val="00894A88"/>
    <w:rsid w:val="00895310"/>
    <w:rsid w:val="00895386"/>
    <w:rsid w:val="00895883"/>
    <w:rsid w:val="00896985"/>
    <w:rsid w:val="0089757A"/>
    <w:rsid w:val="008A0210"/>
    <w:rsid w:val="008A08E0"/>
    <w:rsid w:val="008A0B24"/>
    <w:rsid w:val="008A0B9C"/>
    <w:rsid w:val="008A166F"/>
    <w:rsid w:val="008A21FF"/>
    <w:rsid w:val="008A2CE2"/>
    <w:rsid w:val="008A30AC"/>
    <w:rsid w:val="008A30BD"/>
    <w:rsid w:val="008A310A"/>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831"/>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24E5"/>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BD9"/>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1B3"/>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5DFD"/>
    <w:rsid w:val="009366D9"/>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44E"/>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8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8A7"/>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C18"/>
    <w:rsid w:val="009B4DF4"/>
    <w:rsid w:val="009B4E5C"/>
    <w:rsid w:val="009B564E"/>
    <w:rsid w:val="009B63E2"/>
    <w:rsid w:val="009B6662"/>
    <w:rsid w:val="009B6F63"/>
    <w:rsid w:val="009B6F97"/>
    <w:rsid w:val="009B74D2"/>
    <w:rsid w:val="009B7AA5"/>
    <w:rsid w:val="009B7ADC"/>
    <w:rsid w:val="009B7B75"/>
    <w:rsid w:val="009B7E87"/>
    <w:rsid w:val="009C0587"/>
    <w:rsid w:val="009C273D"/>
    <w:rsid w:val="009C2DAB"/>
    <w:rsid w:val="009C30B2"/>
    <w:rsid w:val="009C403E"/>
    <w:rsid w:val="009C43B0"/>
    <w:rsid w:val="009C4923"/>
    <w:rsid w:val="009C5410"/>
    <w:rsid w:val="009C5948"/>
    <w:rsid w:val="009C5A31"/>
    <w:rsid w:val="009C62EF"/>
    <w:rsid w:val="009C6698"/>
    <w:rsid w:val="009C742A"/>
    <w:rsid w:val="009C78AC"/>
    <w:rsid w:val="009D0331"/>
    <w:rsid w:val="009D111B"/>
    <w:rsid w:val="009D1829"/>
    <w:rsid w:val="009D2044"/>
    <w:rsid w:val="009D2ACB"/>
    <w:rsid w:val="009D2C53"/>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66D"/>
    <w:rsid w:val="009E6AD5"/>
    <w:rsid w:val="009E7CEA"/>
    <w:rsid w:val="009F0370"/>
    <w:rsid w:val="009F08F3"/>
    <w:rsid w:val="009F09EF"/>
    <w:rsid w:val="009F0A74"/>
    <w:rsid w:val="009F1A8F"/>
    <w:rsid w:val="009F2089"/>
    <w:rsid w:val="009F27C8"/>
    <w:rsid w:val="009F2AE7"/>
    <w:rsid w:val="009F2AF7"/>
    <w:rsid w:val="009F2B2C"/>
    <w:rsid w:val="009F2E03"/>
    <w:rsid w:val="009F344F"/>
    <w:rsid w:val="009F3B1B"/>
    <w:rsid w:val="009F541A"/>
    <w:rsid w:val="009F64E1"/>
    <w:rsid w:val="009F753B"/>
    <w:rsid w:val="009F7BDB"/>
    <w:rsid w:val="009F7C5C"/>
    <w:rsid w:val="009F7DAD"/>
    <w:rsid w:val="00A00254"/>
    <w:rsid w:val="00A0026D"/>
    <w:rsid w:val="00A0039D"/>
    <w:rsid w:val="00A0115D"/>
    <w:rsid w:val="00A021CA"/>
    <w:rsid w:val="00A021E0"/>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544"/>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9E"/>
    <w:rsid w:val="00A469EB"/>
    <w:rsid w:val="00A469ED"/>
    <w:rsid w:val="00A46A95"/>
    <w:rsid w:val="00A47A09"/>
    <w:rsid w:val="00A47C00"/>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191"/>
    <w:rsid w:val="00A66720"/>
    <w:rsid w:val="00A66AE1"/>
    <w:rsid w:val="00A670EF"/>
    <w:rsid w:val="00A67D49"/>
    <w:rsid w:val="00A67E6C"/>
    <w:rsid w:val="00A71B99"/>
    <w:rsid w:val="00A71E0A"/>
    <w:rsid w:val="00A7246D"/>
    <w:rsid w:val="00A72E81"/>
    <w:rsid w:val="00A7378D"/>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291E"/>
    <w:rsid w:val="00AB2A36"/>
    <w:rsid w:val="00AB3B29"/>
    <w:rsid w:val="00AB4AB8"/>
    <w:rsid w:val="00AB4BAA"/>
    <w:rsid w:val="00AB52E6"/>
    <w:rsid w:val="00AB5469"/>
    <w:rsid w:val="00AB655E"/>
    <w:rsid w:val="00AB693B"/>
    <w:rsid w:val="00AB6EAE"/>
    <w:rsid w:val="00AB7420"/>
    <w:rsid w:val="00AB7DA2"/>
    <w:rsid w:val="00AC007F"/>
    <w:rsid w:val="00AC158C"/>
    <w:rsid w:val="00AC1AB7"/>
    <w:rsid w:val="00AC1D55"/>
    <w:rsid w:val="00AC2ECD"/>
    <w:rsid w:val="00AC3119"/>
    <w:rsid w:val="00AC38AE"/>
    <w:rsid w:val="00AC49FB"/>
    <w:rsid w:val="00AC4F00"/>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2BF7"/>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49A"/>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39E"/>
    <w:rsid w:val="00B53485"/>
    <w:rsid w:val="00B537CE"/>
    <w:rsid w:val="00B54858"/>
    <w:rsid w:val="00B57004"/>
    <w:rsid w:val="00B57291"/>
    <w:rsid w:val="00B575E0"/>
    <w:rsid w:val="00B57A4E"/>
    <w:rsid w:val="00B57B83"/>
    <w:rsid w:val="00B57D38"/>
    <w:rsid w:val="00B57D49"/>
    <w:rsid w:val="00B57FF9"/>
    <w:rsid w:val="00B60BB3"/>
    <w:rsid w:val="00B60E7F"/>
    <w:rsid w:val="00B62074"/>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78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F7F"/>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34DF"/>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6A44"/>
    <w:rsid w:val="00C16C4D"/>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707"/>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BF9"/>
    <w:rsid w:val="00C43A6C"/>
    <w:rsid w:val="00C43FCC"/>
    <w:rsid w:val="00C44972"/>
    <w:rsid w:val="00C45739"/>
    <w:rsid w:val="00C45F08"/>
    <w:rsid w:val="00C46B7B"/>
    <w:rsid w:val="00C4781F"/>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0AEA"/>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873"/>
    <w:rsid w:val="00C70D2F"/>
    <w:rsid w:val="00C728F3"/>
    <w:rsid w:val="00C72EF4"/>
    <w:rsid w:val="00C7412A"/>
    <w:rsid w:val="00C754E8"/>
    <w:rsid w:val="00C755E3"/>
    <w:rsid w:val="00C75D2F"/>
    <w:rsid w:val="00C76D90"/>
    <w:rsid w:val="00C76E3C"/>
    <w:rsid w:val="00C771D9"/>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EEE"/>
    <w:rsid w:val="00C97567"/>
    <w:rsid w:val="00C97A5F"/>
    <w:rsid w:val="00C97EA2"/>
    <w:rsid w:val="00CA0036"/>
    <w:rsid w:val="00CA01DD"/>
    <w:rsid w:val="00CA0A65"/>
    <w:rsid w:val="00CA17EF"/>
    <w:rsid w:val="00CA1ED8"/>
    <w:rsid w:val="00CA2B84"/>
    <w:rsid w:val="00CA2CE3"/>
    <w:rsid w:val="00CA38D6"/>
    <w:rsid w:val="00CA39A2"/>
    <w:rsid w:val="00CA3A68"/>
    <w:rsid w:val="00CA3DFD"/>
    <w:rsid w:val="00CA4E1A"/>
    <w:rsid w:val="00CA59E2"/>
    <w:rsid w:val="00CA5D20"/>
    <w:rsid w:val="00CA6781"/>
    <w:rsid w:val="00CA68CD"/>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318"/>
    <w:rsid w:val="00CC66FA"/>
    <w:rsid w:val="00CC67A1"/>
    <w:rsid w:val="00CC71A0"/>
    <w:rsid w:val="00CC7B45"/>
    <w:rsid w:val="00CC7B84"/>
    <w:rsid w:val="00CD0B1E"/>
    <w:rsid w:val="00CD1000"/>
    <w:rsid w:val="00CD1188"/>
    <w:rsid w:val="00CD15BB"/>
    <w:rsid w:val="00CD1812"/>
    <w:rsid w:val="00CD2ED1"/>
    <w:rsid w:val="00CD337B"/>
    <w:rsid w:val="00CD4CD9"/>
    <w:rsid w:val="00CD63B2"/>
    <w:rsid w:val="00CD652C"/>
    <w:rsid w:val="00CD6B8F"/>
    <w:rsid w:val="00CD6CA5"/>
    <w:rsid w:val="00CD6FCC"/>
    <w:rsid w:val="00CD7B2D"/>
    <w:rsid w:val="00CD7B72"/>
    <w:rsid w:val="00CD7FEB"/>
    <w:rsid w:val="00CE0744"/>
    <w:rsid w:val="00CE0F52"/>
    <w:rsid w:val="00CE1237"/>
    <w:rsid w:val="00CE1A49"/>
    <w:rsid w:val="00CE277C"/>
    <w:rsid w:val="00CE292F"/>
    <w:rsid w:val="00CE2C47"/>
    <w:rsid w:val="00CE4A12"/>
    <w:rsid w:val="00CE4B16"/>
    <w:rsid w:val="00CE5092"/>
    <w:rsid w:val="00CE59DC"/>
    <w:rsid w:val="00CE5B18"/>
    <w:rsid w:val="00CE5EBF"/>
    <w:rsid w:val="00CE7561"/>
    <w:rsid w:val="00CE75E3"/>
    <w:rsid w:val="00CE7F06"/>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6F12"/>
    <w:rsid w:val="00D37053"/>
    <w:rsid w:val="00D3771F"/>
    <w:rsid w:val="00D37D87"/>
    <w:rsid w:val="00D40629"/>
    <w:rsid w:val="00D40B33"/>
    <w:rsid w:val="00D4102D"/>
    <w:rsid w:val="00D41436"/>
    <w:rsid w:val="00D417B1"/>
    <w:rsid w:val="00D41A3F"/>
    <w:rsid w:val="00D42335"/>
    <w:rsid w:val="00D4318F"/>
    <w:rsid w:val="00D4329B"/>
    <w:rsid w:val="00D434F3"/>
    <w:rsid w:val="00D438BF"/>
    <w:rsid w:val="00D440F8"/>
    <w:rsid w:val="00D4526B"/>
    <w:rsid w:val="00D45AA3"/>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0FD"/>
    <w:rsid w:val="00D616DE"/>
    <w:rsid w:val="00D61AF5"/>
    <w:rsid w:val="00D61E32"/>
    <w:rsid w:val="00D62095"/>
    <w:rsid w:val="00D63D1A"/>
    <w:rsid w:val="00D64AB4"/>
    <w:rsid w:val="00D64B69"/>
    <w:rsid w:val="00D651F1"/>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733"/>
    <w:rsid w:val="00D77B1D"/>
    <w:rsid w:val="00D800BC"/>
    <w:rsid w:val="00D8021F"/>
    <w:rsid w:val="00D80383"/>
    <w:rsid w:val="00D80BDA"/>
    <w:rsid w:val="00D81017"/>
    <w:rsid w:val="00D823C6"/>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0E5D"/>
    <w:rsid w:val="00DA1135"/>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7B5"/>
    <w:rsid w:val="00DD3A6E"/>
    <w:rsid w:val="00DD5DD1"/>
    <w:rsid w:val="00DD6064"/>
    <w:rsid w:val="00DD698D"/>
    <w:rsid w:val="00DD72E3"/>
    <w:rsid w:val="00DD7666"/>
    <w:rsid w:val="00DD781B"/>
    <w:rsid w:val="00DD7E75"/>
    <w:rsid w:val="00DE110B"/>
    <w:rsid w:val="00DE11C9"/>
    <w:rsid w:val="00DE1E1D"/>
    <w:rsid w:val="00DE1E23"/>
    <w:rsid w:val="00DE1E69"/>
    <w:rsid w:val="00DE1F4C"/>
    <w:rsid w:val="00DE23DC"/>
    <w:rsid w:val="00DE3141"/>
    <w:rsid w:val="00DE3510"/>
    <w:rsid w:val="00DE48BD"/>
    <w:rsid w:val="00DE4FFA"/>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B32"/>
    <w:rsid w:val="00E10607"/>
    <w:rsid w:val="00E10E81"/>
    <w:rsid w:val="00E110E7"/>
    <w:rsid w:val="00E11B20"/>
    <w:rsid w:val="00E12763"/>
    <w:rsid w:val="00E128BD"/>
    <w:rsid w:val="00E12923"/>
    <w:rsid w:val="00E13310"/>
    <w:rsid w:val="00E13AB8"/>
    <w:rsid w:val="00E140BD"/>
    <w:rsid w:val="00E14134"/>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37BA"/>
    <w:rsid w:val="00E3484E"/>
    <w:rsid w:val="00E34B6E"/>
    <w:rsid w:val="00E3526B"/>
    <w:rsid w:val="00E353D8"/>
    <w:rsid w:val="00E364CC"/>
    <w:rsid w:val="00E36822"/>
    <w:rsid w:val="00E3723A"/>
    <w:rsid w:val="00E37328"/>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331"/>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67FB1"/>
    <w:rsid w:val="00E703CA"/>
    <w:rsid w:val="00E71515"/>
    <w:rsid w:val="00E71A10"/>
    <w:rsid w:val="00E71B86"/>
    <w:rsid w:val="00E72EFC"/>
    <w:rsid w:val="00E749C9"/>
    <w:rsid w:val="00E758EC"/>
    <w:rsid w:val="00E75B4D"/>
    <w:rsid w:val="00E76421"/>
    <w:rsid w:val="00E7776E"/>
    <w:rsid w:val="00E77CE1"/>
    <w:rsid w:val="00E77D0E"/>
    <w:rsid w:val="00E804FD"/>
    <w:rsid w:val="00E80928"/>
    <w:rsid w:val="00E80F82"/>
    <w:rsid w:val="00E81F0F"/>
    <w:rsid w:val="00E8234C"/>
    <w:rsid w:val="00E823A5"/>
    <w:rsid w:val="00E824BF"/>
    <w:rsid w:val="00E82E48"/>
    <w:rsid w:val="00E82FA4"/>
    <w:rsid w:val="00E83542"/>
    <w:rsid w:val="00E8360C"/>
    <w:rsid w:val="00E83B48"/>
    <w:rsid w:val="00E83CD0"/>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B94"/>
    <w:rsid w:val="00EA438B"/>
    <w:rsid w:val="00EA5283"/>
    <w:rsid w:val="00EA5461"/>
    <w:rsid w:val="00EA580E"/>
    <w:rsid w:val="00EA64B0"/>
    <w:rsid w:val="00EA6B68"/>
    <w:rsid w:val="00EA7190"/>
    <w:rsid w:val="00EA745A"/>
    <w:rsid w:val="00EA7A41"/>
    <w:rsid w:val="00EB0523"/>
    <w:rsid w:val="00EB077B"/>
    <w:rsid w:val="00EB0D24"/>
    <w:rsid w:val="00EB1261"/>
    <w:rsid w:val="00EB21CF"/>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32B"/>
    <w:rsid w:val="00ED454D"/>
    <w:rsid w:val="00ED4AFA"/>
    <w:rsid w:val="00ED635F"/>
    <w:rsid w:val="00ED6BD6"/>
    <w:rsid w:val="00ED6E55"/>
    <w:rsid w:val="00ED78C9"/>
    <w:rsid w:val="00EE0D13"/>
    <w:rsid w:val="00EE1F98"/>
    <w:rsid w:val="00EE1FDD"/>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25E"/>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466"/>
    <w:rsid w:val="00F23D23"/>
    <w:rsid w:val="00F243D8"/>
    <w:rsid w:val="00F243E4"/>
    <w:rsid w:val="00F25761"/>
    <w:rsid w:val="00F26E23"/>
    <w:rsid w:val="00F276AD"/>
    <w:rsid w:val="00F27994"/>
    <w:rsid w:val="00F27FAF"/>
    <w:rsid w:val="00F30648"/>
    <w:rsid w:val="00F30828"/>
    <w:rsid w:val="00F313D6"/>
    <w:rsid w:val="00F316B7"/>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C3B"/>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5FA3"/>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6C33"/>
    <w:rsid w:val="00FB7389"/>
    <w:rsid w:val="00FC186B"/>
    <w:rsid w:val="00FC1DCB"/>
    <w:rsid w:val="00FC2019"/>
    <w:rsid w:val="00FC2E17"/>
    <w:rsid w:val="00FC3000"/>
    <w:rsid w:val="00FC3355"/>
    <w:rsid w:val="00FC353F"/>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234"/>
    <w:rsid w:val="00FD2E88"/>
    <w:rsid w:val="00FD3B87"/>
    <w:rsid w:val="00FD4578"/>
    <w:rsid w:val="00FD47ED"/>
    <w:rsid w:val="00FD710F"/>
    <w:rsid w:val="00FD74DB"/>
    <w:rsid w:val="00FD75E6"/>
    <w:rsid w:val="00FD7660"/>
    <w:rsid w:val="00FD7894"/>
    <w:rsid w:val="00FD7BE1"/>
    <w:rsid w:val="00FE036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7CE"/>
    <w:rsid w:val="00FF1F6E"/>
    <w:rsid w:val="00FF203D"/>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75A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B75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5A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10"/>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ighlight">
    <w:name w:val="highlight"/>
    <w:basedOn w:val="DefaultParagraphFont"/>
    <w:rsid w:val="00C16C4D"/>
  </w:style>
  <w:style w:type="paragraph" w:customStyle="1" w:styleId="cvrTitle">
    <w:name w:val="cvrTitle"/>
    <w:basedOn w:val="Normal"/>
    <w:rsid w:val="00DE3141"/>
    <w:pPr>
      <w:keepLines/>
      <w:numPr>
        <w:numId w:val="11"/>
      </w:numPr>
      <w:tabs>
        <w:tab w:val="clear" w:pos="1152"/>
      </w:tabs>
      <w:spacing w:before="360" w:after="720" w:line="240" w:lineRule="auto"/>
      <w:ind w:left="0" w:firstLine="0"/>
      <w:jc w:val="center"/>
    </w:pPr>
    <w:rPr>
      <w:rFonts w:ascii="Arial" w:eastAsia="Times New Roman" w:hAnsi="Arial" w:cs="Arial"/>
      <w:b/>
      <w:sz w:val="40"/>
      <w:szCs w:val="20"/>
    </w:rPr>
  </w:style>
  <w:style w:type="character" w:customStyle="1" w:styleId="CaptionChar1">
    <w:name w:val="Caption Char1"/>
    <w:aliases w:val="cap Char1,cap Char Char,Caption Char Char,Caption Char1 Char Char,cap Char Char1 Char,Caption Char Char1 Char Char,cap Char2 Char"/>
    <w:link w:val="Caption"/>
    <w:rsid w:val="00DE3141"/>
    <w:rPr>
      <w:rFonts w:asciiTheme="minorHAnsi" w:eastAsiaTheme="minorHAnsi" w:hAnsiTheme="minorHAnsi" w:cstheme="minorBidi"/>
      <w:b/>
      <w:bCs/>
      <w:sz w:val="22"/>
      <w:szCs w:val="22"/>
      <w:lang w:val="en-US"/>
    </w:rPr>
  </w:style>
  <w:style w:type="paragraph" w:customStyle="1" w:styleId="2222">
    <w:name w:val="스타일 스타일 스타일 스타일 양쪽 첫 줄:  2 글자 + 첫 줄:  2 글자 + 첫 줄:  2 글자 + 첫 줄:  2..."/>
    <w:basedOn w:val="Normal"/>
    <w:link w:val="2222Char"/>
    <w:rsid w:val="000510EA"/>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0510EA"/>
    <w:rPr>
      <w:rFonts w:ascii="Times New Roman" w:eastAsia="Malgun Gothic" w:hAnsi="Times New Roman" w:cs="Batang"/>
      <w:lang w:val="en-GB"/>
    </w:rPr>
  </w:style>
  <w:style w:type="paragraph" w:customStyle="1" w:styleId="RAN1text">
    <w:name w:val="RAN1 text"/>
    <w:basedOn w:val="BodyText"/>
    <w:link w:val="RAN1textChar"/>
    <w:qFormat/>
    <w:rsid w:val="008F24E5"/>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8F24E5"/>
    <w:rPr>
      <w:rFonts w:ascii="Times New Roman" w:eastAsia="MS Mincho" w:hAnsi="Times New Roman"/>
      <w:szCs w:val="24"/>
      <w:lang w:val="x-none" w:eastAsia="x-none"/>
    </w:rPr>
  </w:style>
  <w:style w:type="paragraph" w:customStyle="1" w:styleId="RAN1tdoc">
    <w:name w:val="RAN1 tdoc"/>
    <w:basedOn w:val="Normal"/>
    <w:link w:val="RAN1tdocChar"/>
    <w:qFormat/>
    <w:rsid w:val="008F24E5"/>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8F24E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8F24E5"/>
    <w:p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rsid w:val="008F24E5"/>
    <w:rPr>
      <w:rFonts w:ascii="Times" w:eastAsia="Batang" w:hAnsi="Times"/>
      <w:lang w:val="en-US"/>
    </w:rPr>
  </w:style>
  <w:style w:type="paragraph" w:customStyle="1" w:styleId="TAC">
    <w:name w:val="TAC"/>
    <w:basedOn w:val="TAL"/>
    <w:rsid w:val="00317459"/>
    <w:pPr>
      <w:overflowPunct w:val="0"/>
      <w:autoSpaceDE w:val="0"/>
      <w:autoSpaceDN w:val="0"/>
      <w:adjustRightInd w:val="0"/>
      <w:spacing w:line="240" w:lineRule="auto"/>
      <w:jc w:val="center"/>
      <w:textAlignment w:val="baseline"/>
    </w:pPr>
    <w:rPr>
      <w:rFonts w:eastAsia="Times New Roman" w:cs="Times New Roman"/>
      <w:szCs w:val="20"/>
      <w:lang w:val="en-GB"/>
    </w:rPr>
  </w:style>
  <w:style w:type="paragraph" w:customStyle="1" w:styleId="text">
    <w:name w:val="text"/>
    <w:basedOn w:val="Normal"/>
    <w:link w:val="textChar"/>
    <w:qFormat/>
    <w:rsid w:val="00CC7B84"/>
    <w:pPr>
      <w:widowControl w:val="0"/>
      <w:spacing w:after="240" w:line="240" w:lineRule="auto"/>
      <w:jc w:val="both"/>
    </w:pPr>
    <w:rPr>
      <w:rFonts w:ascii="Calibri" w:eastAsia="SimSun" w:hAnsi="Calibri" w:cs="Times New Roman"/>
      <w:kern w:val="2"/>
      <w:sz w:val="24"/>
      <w:szCs w:val="20"/>
      <w:lang w:eastAsia="zh-CN"/>
    </w:rPr>
  </w:style>
  <w:style w:type="paragraph" w:customStyle="1" w:styleId="tdoc">
    <w:name w:val="tdoc"/>
    <w:basedOn w:val="Normal"/>
    <w:link w:val="tdocChar"/>
    <w:qFormat/>
    <w:rsid w:val="00CC7B84"/>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CC7B84"/>
    <w:rPr>
      <w:rFonts w:ascii="Times" w:eastAsia="Batang" w:hAnsi="Times"/>
      <w:szCs w:val="24"/>
      <w:lang w:val="en-GB"/>
    </w:rPr>
  </w:style>
  <w:style w:type="paragraph" w:customStyle="1" w:styleId="bullet1">
    <w:name w:val="bullet1"/>
    <w:basedOn w:val="text"/>
    <w:link w:val="bullet1Char"/>
    <w:qFormat/>
    <w:rsid w:val="00CC7B84"/>
    <w:pPr>
      <w:widowControl/>
      <w:numPr>
        <w:numId w:val="20"/>
      </w:numPr>
      <w:spacing w:after="0"/>
      <w:jc w:val="left"/>
    </w:pPr>
    <w:rPr>
      <w:szCs w:val="24"/>
      <w:lang w:val="en-GB"/>
    </w:rPr>
  </w:style>
  <w:style w:type="character" w:customStyle="1" w:styleId="textChar">
    <w:name w:val="text Char"/>
    <w:link w:val="text"/>
    <w:rsid w:val="00CC7B84"/>
    <w:rPr>
      <w:rFonts w:ascii="Calibri" w:hAnsi="Calibri"/>
      <w:kern w:val="2"/>
      <w:sz w:val="24"/>
      <w:lang w:val="en-US" w:eastAsia="zh-CN"/>
    </w:rPr>
  </w:style>
  <w:style w:type="paragraph" w:customStyle="1" w:styleId="bullet2">
    <w:name w:val="bullet2"/>
    <w:basedOn w:val="text"/>
    <w:link w:val="bullet2Char"/>
    <w:qFormat/>
    <w:rsid w:val="00CC7B84"/>
    <w:pPr>
      <w:widowControl/>
      <w:numPr>
        <w:ilvl w:val="1"/>
        <w:numId w:val="20"/>
      </w:numPr>
      <w:spacing w:after="0"/>
      <w:jc w:val="left"/>
    </w:pPr>
    <w:rPr>
      <w:rFonts w:ascii="Times" w:hAnsi="Times"/>
      <w:szCs w:val="24"/>
      <w:lang w:val="en-GB"/>
    </w:rPr>
  </w:style>
  <w:style w:type="character" w:customStyle="1" w:styleId="bullet1Char">
    <w:name w:val="bullet1 Char"/>
    <w:link w:val="bullet1"/>
    <w:rsid w:val="00CC7B84"/>
    <w:rPr>
      <w:rFonts w:ascii="Calibri" w:hAnsi="Calibri"/>
      <w:kern w:val="2"/>
      <w:sz w:val="24"/>
      <w:szCs w:val="24"/>
      <w:lang w:val="en-GB" w:eastAsia="zh-CN"/>
    </w:rPr>
  </w:style>
  <w:style w:type="paragraph" w:customStyle="1" w:styleId="bullet3">
    <w:name w:val="bullet3"/>
    <w:basedOn w:val="text"/>
    <w:qFormat/>
    <w:rsid w:val="00CC7B84"/>
    <w:pPr>
      <w:widowControl/>
      <w:numPr>
        <w:ilvl w:val="2"/>
        <w:numId w:val="20"/>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C7B84"/>
    <w:rPr>
      <w:rFonts w:ascii="Times" w:hAnsi="Times"/>
      <w:kern w:val="2"/>
      <w:sz w:val="24"/>
      <w:szCs w:val="24"/>
      <w:lang w:val="en-GB" w:eastAsia="zh-CN"/>
    </w:rPr>
  </w:style>
  <w:style w:type="paragraph" w:customStyle="1" w:styleId="bullet4">
    <w:name w:val="bullet4"/>
    <w:basedOn w:val="text"/>
    <w:qFormat/>
    <w:rsid w:val="00CC7B84"/>
    <w:pPr>
      <w:widowControl/>
      <w:numPr>
        <w:ilvl w:val="3"/>
        <w:numId w:val="20"/>
      </w:numPr>
      <w:tabs>
        <w:tab w:val="num" w:pos="360"/>
      </w:tabs>
      <w:spacing w:after="0"/>
      <w:ind w:left="0" w:firstLine="0"/>
      <w:jc w:val="left"/>
    </w:pPr>
    <w:rPr>
      <w:rFonts w:ascii="Times" w:eastAsia="Batang" w:hAnsi="Times"/>
      <w:kern w:val="0"/>
      <w:sz w:val="20"/>
      <w:szCs w:val="24"/>
      <w:lang w:val="en-GB" w:eastAsia="en-US"/>
    </w:rPr>
  </w:style>
  <w:style w:type="paragraph" w:customStyle="1" w:styleId="m1688756359928511317gmail-msonormal">
    <w:name w:val="m_1688756359928511317gmail-msonormal"/>
    <w:basedOn w:val="Normal"/>
    <w:rsid w:val="00305A12"/>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305A12"/>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127763">
      <w:bodyDiv w:val="1"/>
      <w:marLeft w:val="0"/>
      <w:marRight w:val="0"/>
      <w:marTop w:val="0"/>
      <w:marBottom w:val="0"/>
      <w:divBdr>
        <w:top w:val="none" w:sz="0" w:space="0" w:color="auto"/>
        <w:left w:val="none" w:sz="0" w:space="0" w:color="auto"/>
        <w:bottom w:val="none" w:sz="0" w:space="0" w:color="auto"/>
        <w:right w:val="none" w:sz="0" w:space="0" w:color="auto"/>
      </w:divBdr>
      <w:divsChild>
        <w:div w:id="1657220319">
          <w:marLeft w:val="0"/>
          <w:marRight w:val="0"/>
          <w:marTop w:val="0"/>
          <w:marBottom w:val="0"/>
          <w:divBdr>
            <w:top w:val="none" w:sz="0" w:space="0" w:color="auto"/>
            <w:left w:val="none" w:sz="0" w:space="0" w:color="auto"/>
            <w:bottom w:val="none" w:sz="0" w:space="0" w:color="auto"/>
            <w:right w:val="none" w:sz="0" w:space="0" w:color="auto"/>
          </w:divBdr>
        </w:div>
        <w:div w:id="136532768">
          <w:marLeft w:val="0"/>
          <w:marRight w:val="0"/>
          <w:marTop w:val="0"/>
          <w:marBottom w:val="0"/>
          <w:divBdr>
            <w:top w:val="none" w:sz="0" w:space="0" w:color="auto"/>
            <w:left w:val="none" w:sz="0" w:space="0" w:color="auto"/>
            <w:bottom w:val="none" w:sz="0" w:space="0" w:color="auto"/>
            <w:right w:val="none" w:sz="0" w:space="0" w:color="auto"/>
          </w:divBdr>
        </w:div>
        <w:div w:id="412313071">
          <w:marLeft w:val="0"/>
          <w:marRight w:val="0"/>
          <w:marTop w:val="0"/>
          <w:marBottom w:val="0"/>
          <w:divBdr>
            <w:top w:val="none" w:sz="0" w:space="0" w:color="auto"/>
            <w:left w:val="none" w:sz="0" w:space="0" w:color="auto"/>
            <w:bottom w:val="none" w:sz="0" w:space="0" w:color="auto"/>
            <w:right w:val="none" w:sz="0" w:space="0" w:color="auto"/>
          </w:divBdr>
        </w:div>
        <w:div w:id="931280453">
          <w:marLeft w:val="0"/>
          <w:marRight w:val="0"/>
          <w:marTop w:val="0"/>
          <w:marBottom w:val="0"/>
          <w:divBdr>
            <w:top w:val="none" w:sz="0" w:space="0" w:color="auto"/>
            <w:left w:val="none" w:sz="0" w:space="0" w:color="auto"/>
            <w:bottom w:val="none" w:sz="0" w:space="0" w:color="auto"/>
            <w:right w:val="none" w:sz="0" w:space="0" w:color="auto"/>
          </w:divBdr>
        </w:div>
        <w:div w:id="262343902">
          <w:marLeft w:val="0"/>
          <w:marRight w:val="0"/>
          <w:marTop w:val="0"/>
          <w:marBottom w:val="0"/>
          <w:divBdr>
            <w:top w:val="none" w:sz="0" w:space="0" w:color="auto"/>
            <w:left w:val="none" w:sz="0" w:space="0" w:color="auto"/>
            <w:bottom w:val="none" w:sz="0" w:space="0" w:color="auto"/>
            <w:right w:val="none" w:sz="0" w:space="0" w:color="auto"/>
          </w:divBdr>
        </w:div>
        <w:div w:id="836455340">
          <w:marLeft w:val="0"/>
          <w:marRight w:val="0"/>
          <w:marTop w:val="0"/>
          <w:marBottom w:val="0"/>
          <w:divBdr>
            <w:top w:val="none" w:sz="0" w:space="0" w:color="auto"/>
            <w:left w:val="none" w:sz="0" w:space="0" w:color="auto"/>
            <w:bottom w:val="none" w:sz="0" w:space="0" w:color="auto"/>
            <w:right w:val="none" w:sz="0" w:space="0" w:color="auto"/>
          </w:divBdr>
        </w:div>
      </w:divsChild>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3165994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103661">
      <w:bodyDiv w:val="1"/>
      <w:marLeft w:val="0"/>
      <w:marRight w:val="0"/>
      <w:marTop w:val="0"/>
      <w:marBottom w:val="0"/>
      <w:divBdr>
        <w:top w:val="none" w:sz="0" w:space="0" w:color="auto"/>
        <w:left w:val="none" w:sz="0" w:space="0" w:color="auto"/>
        <w:bottom w:val="none" w:sz="0" w:space="0" w:color="auto"/>
        <w:right w:val="none" w:sz="0" w:space="0" w:color="auto"/>
      </w:divBdr>
      <w:divsChild>
        <w:div w:id="374164811">
          <w:marLeft w:val="0"/>
          <w:marRight w:val="0"/>
          <w:marTop w:val="0"/>
          <w:marBottom w:val="0"/>
          <w:divBdr>
            <w:top w:val="none" w:sz="0" w:space="0" w:color="auto"/>
            <w:left w:val="none" w:sz="0" w:space="0" w:color="auto"/>
            <w:bottom w:val="none" w:sz="0" w:space="0" w:color="auto"/>
            <w:right w:val="none" w:sz="0" w:space="0" w:color="auto"/>
          </w:divBdr>
          <w:divsChild>
            <w:div w:id="2056156926">
              <w:marLeft w:val="0"/>
              <w:marRight w:val="0"/>
              <w:marTop w:val="0"/>
              <w:marBottom w:val="0"/>
              <w:divBdr>
                <w:top w:val="none" w:sz="0" w:space="0" w:color="auto"/>
                <w:left w:val="none" w:sz="0" w:space="0" w:color="auto"/>
                <w:bottom w:val="none" w:sz="0" w:space="0" w:color="auto"/>
                <w:right w:val="none" w:sz="0" w:space="0" w:color="auto"/>
              </w:divBdr>
            </w:div>
            <w:div w:id="600113284">
              <w:marLeft w:val="0"/>
              <w:marRight w:val="0"/>
              <w:marTop w:val="0"/>
              <w:marBottom w:val="0"/>
              <w:divBdr>
                <w:top w:val="none" w:sz="0" w:space="0" w:color="auto"/>
                <w:left w:val="none" w:sz="0" w:space="0" w:color="auto"/>
                <w:bottom w:val="none" w:sz="0" w:space="0" w:color="auto"/>
                <w:right w:val="none" w:sz="0" w:space="0" w:color="auto"/>
              </w:divBdr>
            </w:div>
            <w:div w:id="1522474705">
              <w:marLeft w:val="0"/>
              <w:marRight w:val="0"/>
              <w:marTop w:val="0"/>
              <w:marBottom w:val="0"/>
              <w:divBdr>
                <w:top w:val="none" w:sz="0" w:space="0" w:color="auto"/>
                <w:left w:val="none" w:sz="0" w:space="0" w:color="auto"/>
                <w:bottom w:val="none" w:sz="0" w:space="0" w:color="auto"/>
                <w:right w:val="none" w:sz="0" w:space="0" w:color="auto"/>
              </w:divBdr>
            </w:div>
            <w:div w:id="1537084292">
              <w:marLeft w:val="0"/>
              <w:marRight w:val="0"/>
              <w:marTop w:val="0"/>
              <w:marBottom w:val="0"/>
              <w:divBdr>
                <w:top w:val="none" w:sz="0" w:space="0" w:color="auto"/>
                <w:left w:val="none" w:sz="0" w:space="0" w:color="auto"/>
                <w:bottom w:val="none" w:sz="0" w:space="0" w:color="auto"/>
                <w:right w:val="none" w:sz="0" w:space="0" w:color="auto"/>
              </w:divBdr>
            </w:div>
            <w:div w:id="1077091095">
              <w:marLeft w:val="0"/>
              <w:marRight w:val="0"/>
              <w:marTop w:val="0"/>
              <w:marBottom w:val="0"/>
              <w:divBdr>
                <w:top w:val="none" w:sz="0" w:space="0" w:color="auto"/>
                <w:left w:val="none" w:sz="0" w:space="0" w:color="auto"/>
                <w:bottom w:val="none" w:sz="0" w:space="0" w:color="auto"/>
                <w:right w:val="none" w:sz="0" w:space="0" w:color="auto"/>
              </w:divBdr>
            </w:div>
            <w:div w:id="1317686354">
              <w:marLeft w:val="0"/>
              <w:marRight w:val="0"/>
              <w:marTop w:val="0"/>
              <w:marBottom w:val="0"/>
              <w:divBdr>
                <w:top w:val="none" w:sz="0" w:space="0" w:color="auto"/>
                <w:left w:val="none" w:sz="0" w:space="0" w:color="auto"/>
                <w:bottom w:val="none" w:sz="0" w:space="0" w:color="auto"/>
                <w:right w:val="none" w:sz="0" w:space="0" w:color="auto"/>
              </w:divBdr>
            </w:div>
            <w:div w:id="88429298">
              <w:marLeft w:val="0"/>
              <w:marRight w:val="0"/>
              <w:marTop w:val="0"/>
              <w:marBottom w:val="0"/>
              <w:divBdr>
                <w:top w:val="none" w:sz="0" w:space="0" w:color="auto"/>
                <w:left w:val="none" w:sz="0" w:space="0" w:color="auto"/>
                <w:bottom w:val="none" w:sz="0" w:space="0" w:color="auto"/>
                <w:right w:val="none" w:sz="0" w:space="0" w:color="auto"/>
              </w:divBdr>
            </w:div>
            <w:div w:id="1087507009">
              <w:marLeft w:val="0"/>
              <w:marRight w:val="0"/>
              <w:marTop w:val="0"/>
              <w:marBottom w:val="0"/>
              <w:divBdr>
                <w:top w:val="none" w:sz="0" w:space="0" w:color="auto"/>
                <w:left w:val="none" w:sz="0" w:space="0" w:color="auto"/>
                <w:bottom w:val="none" w:sz="0" w:space="0" w:color="auto"/>
                <w:right w:val="none" w:sz="0" w:space="0" w:color="auto"/>
              </w:divBdr>
            </w:div>
            <w:div w:id="1568106902">
              <w:marLeft w:val="0"/>
              <w:marRight w:val="0"/>
              <w:marTop w:val="0"/>
              <w:marBottom w:val="0"/>
              <w:divBdr>
                <w:top w:val="none" w:sz="0" w:space="0" w:color="auto"/>
                <w:left w:val="none" w:sz="0" w:space="0" w:color="auto"/>
                <w:bottom w:val="none" w:sz="0" w:space="0" w:color="auto"/>
                <w:right w:val="none" w:sz="0" w:space="0" w:color="auto"/>
              </w:divBdr>
            </w:div>
            <w:div w:id="1467771117">
              <w:marLeft w:val="0"/>
              <w:marRight w:val="0"/>
              <w:marTop w:val="0"/>
              <w:marBottom w:val="0"/>
              <w:divBdr>
                <w:top w:val="none" w:sz="0" w:space="0" w:color="auto"/>
                <w:left w:val="none" w:sz="0" w:space="0" w:color="auto"/>
                <w:bottom w:val="none" w:sz="0" w:space="0" w:color="auto"/>
                <w:right w:val="none" w:sz="0" w:space="0" w:color="auto"/>
              </w:divBdr>
            </w:div>
            <w:div w:id="2130470499">
              <w:marLeft w:val="0"/>
              <w:marRight w:val="0"/>
              <w:marTop w:val="0"/>
              <w:marBottom w:val="0"/>
              <w:divBdr>
                <w:top w:val="none" w:sz="0" w:space="0" w:color="auto"/>
                <w:left w:val="none" w:sz="0" w:space="0" w:color="auto"/>
                <w:bottom w:val="none" w:sz="0" w:space="0" w:color="auto"/>
                <w:right w:val="none" w:sz="0" w:space="0" w:color="auto"/>
              </w:divBdr>
            </w:div>
            <w:div w:id="388579063">
              <w:marLeft w:val="0"/>
              <w:marRight w:val="0"/>
              <w:marTop w:val="0"/>
              <w:marBottom w:val="0"/>
              <w:divBdr>
                <w:top w:val="none" w:sz="0" w:space="0" w:color="auto"/>
                <w:left w:val="none" w:sz="0" w:space="0" w:color="auto"/>
                <w:bottom w:val="none" w:sz="0" w:space="0" w:color="auto"/>
                <w:right w:val="none" w:sz="0" w:space="0" w:color="auto"/>
              </w:divBdr>
            </w:div>
            <w:div w:id="691228714">
              <w:marLeft w:val="0"/>
              <w:marRight w:val="0"/>
              <w:marTop w:val="0"/>
              <w:marBottom w:val="0"/>
              <w:divBdr>
                <w:top w:val="none" w:sz="0" w:space="0" w:color="auto"/>
                <w:left w:val="none" w:sz="0" w:space="0" w:color="auto"/>
                <w:bottom w:val="none" w:sz="0" w:space="0" w:color="auto"/>
                <w:right w:val="none" w:sz="0" w:space="0" w:color="auto"/>
              </w:divBdr>
            </w:div>
            <w:div w:id="1856917848">
              <w:marLeft w:val="0"/>
              <w:marRight w:val="0"/>
              <w:marTop w:val="0"/>
              <w:marBottom w:val="0"/>
              <w:divBdr>
                <w:top w:val="none" w:sz="0" w:space="0" w:color="auto"/>
                <w:left w:val="none" w:sz="0" w:space="0" w:color="auto"/>
                <w:bottom w:val="none" w:sz="0" w:space="0" w:color="auto"/>
                <w:right w:val="none" w:sz="0" w:space="0" w:color="auto"/>
              </w:divBdr>
            </w:div>
            <w:div w:id="1231648956">
              <w:marLeft w:val="0"/>
              <w:marRight w:val="0"/>
              <w:marTop w:val="0"/>
              <w:marBottom w:val="0"/>
              <w:divBdr>
                <w:top w:val="none" w:sz="0" w:space="0" w:color="auto"/>
                <w:left w:val="none" w:sz="0" w:space="0" w:color="auto"/>
                <w:bottom w:val="none" w:sz="0" w:space="0" w:color="auto"/>
                <w:right w:val="none" w:sz="0" w:space="0" w:color="auto"/>
              </w:divBdr>
            </w:div>
            <w:div w:id="2048601863">
              <w:marLeft w:val="0"/>
              <w:marRight w:val="0"/>
              <w:marTop w:val="0"/>
              <w:marBottom w:val="0"/>
              <w:divBdr>
                <w:top w:val="none" w:sz="0" w:space="0" w:color="auto"/>
                <w:left w:val="none" w:sz="0" w:space="0" w:color="auto"/>
                <w:bottom w:val="none" w:sz="0" w:space="0" w:color="auto"/>
                <w:right w:val="none" w:sz="0" w:space="0" w:color="auto"/>
              </w:divBdr>
            </w:div>
            <w:div w:id="1213468172">
              <w:marLeft w:val="0"/>
              <w:marRight w:val="0"/>
              <w:marTop w:val="0"/>
              <w:marBottom w:val="0"/>
              <w:divBdr>
                <w:top w:val="none" w:sz="0" w:space="0" w:color="auto"/>
                <w:left w:val="none" w:sz="0" w:space="0" w:color="auto"/>
                <w:bottom w:val="none" w:sz="0" w:space="0" w:color="auto"/>
                <w:right w:val="none" w:sz="0" w:space="0" w:color="auto"/>
              </w:divBdr>
            </w:div>
            <w:div w:id="2041012217">
              <w:marLeft w:val="0"/>
              <w:marRight w:val="0"/>
              <w:marTop w:val="0"/>
              <w:marBottom w:val="0"/>
              <w:divBdr>
                <w:top w:val="none" w:sz="0" w:space="0" w:color="auto"/>
                <w:left w:val="none" w:sz="0" w:space="0" w:color="auto"/>
                <w:bottom w:val="none" w:sz="0" w:space="0" w:color="auto"/>
                <w:right w:val="none" w:sz="0" w:space="0" w:color="auto"/>
              </w:divBdr>
            </w:div>
            <w:div w:id="172840521">
              <w:marLeft w:val="0"/>
              <w:marRight w:val="0"/>
              <w:marTop w:val="0"/>
              <w:marBottom w:val="0"/>
              <w:divBdr>
                <w:top w:val="none" w:sz="0" w:space="0" w:color="auto"/>
                <w:left w:val="none" w:sz="0" w:space="0" w:color="auto"/>
                <w:bottom w:val="none" w:sz="0" w:space="0" w:color="auto"/>
                <w:right w:val="none" w:sz="0" w:space="0" w:color="auto"/>
              </w:divBdr>
            </w:div>
            <w:div w:id="1214660352">
              <w:marLeft w:val="0"/>
              <w:marRight w:val="0"/>
              <w:marTop w:val="0"/>
              <w:marBottom w:val="0"/>
              <w:divBdr>
                <w:top w:val="none" w:sz="0" w:space="0" w:color="auto"/>
                <w:left w:val="none" w:sz="0" w:space="0" w:color="auto"/>
                <w:bottom w:val="none" w:sz="0" w:space="0" w:color="auto"/>
                <w:right w:val="none" w:sz="0" w:space="0" w:color="auto"/>
              </w:divBdr>
            </w:div>
            <w:div w:id="206456865">
              <w:marLeft w:val="0"/>
              <w:marRight w:val="0"/>
              <w:marTop w:val="0"/>
              <w:marBottom w:val="0"/>
              <w:divBdr>
                <w:top w:val="none" w:sz="0" w:space="0" w:color="auto"/>
                <w:left w:val="none" w:sz="0" w:space="0" w:color="auto"/>
                <w:bottom w:val="none" w:sz="0" w:space="0" w:color="auto"/>
                <w:right w:val="none" w:sz="0" w:space="0" w:color="auto"/>
              </w:divBdr>
            </w:div>
            <w:div w:id="878783919">
              <w:marLeft w:val="0"/>
              <w:marRight w:val="0"/>
              <w:marTop w:val="0"/>
              <w:marBottom w:val="0"/>
              <w:divBdr>
                <w:top w:val="none" w:sz="0" w:space="0" w:color="auto"/>
                <w:left w:val="none" w:sz="0" w:space="0" w:color="auto"/>
                <w:bottom w:val="none" w:sz="0" w:space="0" w:color="auto"/>
                <w:right w:val="none" w:sz="0" w:space="0" w:color="auto"/>
              </w:divBdr>
            </w:div>
            <w:div w:id="362370158">
              <w:marLeft w:val="0"/>
              <w:marRight w:val="0"/>
              <w:marTop w:val="0"/>
              <w:marBottom w:val="0"/>
              <w:divBdr>
                <w:top w:val="none" w:sz="0" w:space="0" w:color="auto"/>
                <w:left w:val="none" w:sz="0" w:space="0" w:color="auto"/>
                <w:bottom w:val="none" w:sz="0" w:space="0" w:color="auto"/>
                <w:right w:val="none" w:sz="0" w:space="0" w:color="auto"/>
              </w:divBdr>
            </w:div>
            <w:div w:id="314535635">
              <w:marLeft w:val="0"/>
              <w:marRight w:val="0"/>
              <w:marTop w:val="0"/>
              <w:marBottom w:val="0"/>
              <w:divBdr>
                <w:top w:val="none" w:sz="0" w:space="0" w:color="auto"/>
                <w:left w:val="none" w:sz="0" w:space="0" w:color="auto"/>
                <w:bottom w:val="none" w:sz="0" w:space="0" w:color="auto"/>
                <w:right w:val="none" w:sz="0" w:space="0" w:color="auto"/>
              </w:divBdr>
            </w:div>
            <w:div w:id="904560045">
              <w:marLeft w:val="0"/>
              <w:marRight w:val="0"/>
              <w:marTop w:val="0"/>
              <w:marBottom w:val="0"/>
              <w:divBdr>
                <w:top w:val="none" w:sz="0" w:space="0" w:color="auto"/>
                <w:left w:val="none" w:sz="0" w:space="0" w:color="auto"/>
                <w:bottom w:val="none" w:sz="0" w:space="0" w:color="auto"/>
                <w:right w:val="none" w:sz="0" w:space="0" w:color="auto"/>
              </w:divBdr>
            </w:div>
            <w:div w:id="89593010">
              <w:marLeft w:val="0"/>
              <w:marRight w:val="0"/>
              <w:marTop w:val="0"/>
              <w:marBottom w:val="0"/>
              <w:divBdr>
                <w:top w:val="none" w:sz="0" w:space="0" w:color="auto"/>
                <w:left w:val="none" w:sz="0" w:space="0" w:color="auto"/>
                <w:bottom w:val="none" w:sz="0" w:space="0" w:color="auto"/>
                <w:right w:val="none" w:sz="0" w:space="0" w:color="auto"/>
              </w:divBdr>
            </w:div>
            <w:div w:id="1834639244">
              <w:marLeft w:val="0"/>
              <w:marRight w:val="0"/>
              <w:marTop w:val="0"/>
              <w:marBottom w:val="0"/>
              <w:divBdr>
                <w:top w:val="none" w:sz="0" w:space="0" w:color="auto"/>
                <w:left w:val="none" w:sz="0" w:space="0" w:color="auto"/>
                <w:bottom w:val="none" w:sz="0" w:space="0" w:color="auto"/>
                <w:right w:val="none" w:sz="0" w:space="0" w:color="auto"/>
              </w:divBdr>
            </w:div>
            <w:div w:id="607006426">
              <w:marLeft w:val="0"/>
              <w:marRight w:val="0"/>
              <w:marTop w:val="0"/>
              <w:marBottom w:val="0"/>
              <w:divBdr>
                <w:top w:val="none" w:sz="0" w:space="0" w:color="auto"/>
                <w:left w:val="none" w:sz="0" w:space="0" w:color="auto"/>
                <w:bottom w:val="none" w:sz="0" w:space="0" w:color="auto"/>
                <w:right w:val="none" w:sz="0" w:space="0" w:color="auto"/>
              </w:divBdr>
            </w:div>
            <w:div w:id="32001488">
              <w:marLeft w:val="0"/>
              <w:marRight w:val="0"/>
              <w:marTop w:val="0"/>
              <w:marBottom w:val="0"/>
              <w:divBdr>
                <w:top w:val="none" w:sz="0" w:space="0" w:color="auto"/>
                <w:left w:val="none" w:sz="0" w:space="0" w:color="auto"/>
                <w:bottom w:val="none" w:sz="0" w:space="0" w:color="auto"/>
                <w:right w:val="none" w:sz="0" w:space="0" w:color="auto"/>
              </w:divBdr>
            </w:div>
            <w:div w:id="976641452">
              <w:marLeft w:val="0"/>
              <w:marRight w:val="0"/>
              <w:marTop w:val="0"/>
              <w:marBottom w:val="0"/>
              <w:divBdr>
                <w:top w:val="none" w:sz="0" w:space="0" w:color="auto"/>
                <w:left w:val="none" w:sz="0" w:space="0" w:color="auto"/>
                <w:bottom w:val="none" w:sz="0" w:space="0" w:color="auto"/>
                <w:right w:val="none" w:sz="0" w:space="0" w:color="auto"/>
              </w:divBdr>
            </w:div>
            <w:div w:id="957683394">
              <w:marLeft w:val="0"/>
              <w:marRight w:val="0"/>
              <w:marTop w:val="0"/>
              <w:marBottom w:val="0"/>
              <w:divBdr>
                <w:top w:val="none" w:sz="0" w:space="0" w:color="auto"/>
                <w:left w:val="none" w:sz="0" w:space="0" w:color="auto"/>
                <w:bottom w:val="none" w:sz="0" w:space="0" w:color="auto"/>
                <w:right w:val="none" w:sz="0" w:space="0" w:color="auto"/>
              </w:divBdr>
            </w:div>
            <w:div w:id="822349920">
              <w:marLeft w:val="0"/>
              <w:marRight w:val="0"/>
              <w:marTop w:val="0"/>
              <w:marBottom w:val="0"/>
              <w:divBdr>
                <w:top w:val="none" w:sz="0" w:space="0" w:color="auto"/>
                <w:left w:val="none" w:sz="0" w:space="0" w:color="auto"/>
                <w:bottom w:val="none" w:sz="0" w:space="0" w:color="auto"/>
                <w:right w:val="none" w:sz="0" w:space="0" w:color="auto"/>
              </w:divBdr>
            </w:div>
            <w:div w:id="853954158">
              <w:marLeft w:val="0"/>
              <w:marRight w:val="0"/>
              <w:marTop w:val="0"/>
              <w:marBottom w:val="0"/>
              <w:divBdr>
                <w:top w:val="none" w:sz="0" w:space="0" w:color="auto"/>
                <w:left w:val="none" w:sz="0" w:space="0" w:color="auto"/>
                <w:bottom w:val="none" w:sz="0" w:space="0" w:color="auto"/>
                <w:right w:val="none" w:sz="0" w:space="0" w:color="auto"/>
              </w:divBdr>
            </w:div>
            <w:div w:id="1891645009">
              <w:marLeft w:val="0"/>
              <w:marRight w:val="0"/>
              <w:marTop w:val="0"/>
              <w:marBottom w:val="0"/>
              <w:divBdr>
                <w:top w:val="none" w:sz="0" w:space="0" w:color="auto"/>
                <w:left w:val="none" w:sz="0" w:space="0" w:color="auto"/>
                <w:bottom w:val="none" w:sz="0" w:space="0" w:color="auto"/>
                <w:right w:val="none" w:sz="0" w:space="0" w:color="auto"/>
              </w:divBdr>
            </w:div>
            <w:div w:id="15659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887604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1.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10475F-6726-4DF8-B967-78C1D682272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4.xml><?xml version="1.0" encoding="utf-8"?>
<ds:datastoreItem xmlns:ds="http://schemas.openxmlformats.org/officeDocument/2006/customXml" ds:itemID="{D016DC82-ED61-46D6-9390-32E8544A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7664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2017-03-24T21:14:00Z</dcterms:created>
  <dcterms:modified xsi:type="dcterms:W3CDTF">2018-01-12T16:36:00Z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